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95FDC8">
      <w:pPr>
        <w:numPr>
          <w:numId w:val="0"/>
        </w:numPr>
        <w:spacing w:line="360" w:lineRule="auto"/>
        <w:ind w:leftChars="0"/>
        <w:jc w:val="center"/>
        <w:rPr>
          <w:rFonts w:hint="eastAsia" w:ascii="仿宋_GB2312" w:hAnsi="仿宋_GB2312" w:eastAsia="仿宋_GB2312" w:cs="仿宋_GB2312"/>
          <w:b/>
          <w:kern w:val="44"/>
          <w:sz w:val="24"/>
          <w:highlight w:val="none"/>
          <w:lang w:val="en-US" w:eastAsia="zh-CN" w:bidi="ar-SA"/>
        </w:rPr>
      </w:pPr>
      <w:bookmarkStart w:id="0" w:name="_top"/>
      <w:bookmarkEnd w:id="0"/>
      <w:bookmarkStart w:id="1" w:name="_Toc19419"/>
      <w:bookmarkStart w:id="2" w:name="_Toc5560_WPSOffice_Level1"/>
      <w:bookmarkStart w:id="3" w:name="_Toc6448_WPSOffice_Level1"/>
      <w:bookmarkStart w:id="4" w:name="_Toc22287"/>
      <w:bookmarkStart w:id="5" w:name="_Toc19912"/>
      <w:bookmarkStart w:id="6" w:name="_Toc24240"/>
      <w:bookmarkStart w:id="7" w:name="_Toc3421"/>
      <w:r>
        <w:rPr>
          <w:rFonts w:hint="eastAsia" w:ascii="仿宋_GB2312" w:hAnsi="仿宋_GB2312" w:eastAsia="仿宋_GB2312" w:cs="仿宋_GB2312"/>
          <w:b/>
          <w:kern w:val="44"/>
          <w:sz w:val="24"/>
          <w:highlight w:val="none"/>
          <w:lang w:val="en-US" w:eastAsia="zh-CN" w:bidi="ar-SA"/>
        </w:rPr>
        <w:t>帆海融光——天津博物馆藏中国外销纹章瓷器特展（暂定名）项目（第二次）</w:t>
      </w:r>
      <w:bookmarkEnd w:id="1"/>
      <w:bookmarkEnd w:id="2"/>
      <w:bookmarkEnd w:id="3"/>
      <w:bookmarkEnd w:id="4"/>
      <w:bookmarkEnd w:id="5"/>
      <w:bookmarkEnd w:id="6"/>
    </w:p>
    <w:p w14:paraId="5C994DB2">
      <w:pPr>
        <w:pStyle w:val="2"/>
        <w:rPr>
          <w:rFonts w:ascii="仿宋_GB2312" w:hAnsi="仿宋_GB2312" w:eastAsia="仿宋_GB2312" w:cs="仿宋_GB2312"/>
          <w:highlight w:val="none"/>
        </w:rPr>
      </w:pPr>
      <w:r>
        <w:rPr>
          <w:rFonts w:hint="eastAsia" w:ascii="仿宋_GB2312" w:hAnsi="仿宋_GB2312" w:eastAsia="仿宋_GB2312" w:cs="仿宋_GB2312"/>
          <w:highlight w:val="none"/>
        </w:rPr>
        <w:t>服务要求</w:t>
      </w:r>
      <w:bookmarkEnd w:id="7"/>
      <w:bookmarkStart w:id="16" w:name="_GoBack"/>
      <w:bookmarkEnd w:id="16"/>
      <w:bookmarkStart w:id="8" w:name="_Toc3724_WPSOffice_Level1"/>
      <w:bookmarkStart w:id="9" w:name="_Toc28569"/>
      <w:bookmarkStart w:id="10" w:name="第四部分"/>
      <w:bookmarkStart w:id="11" w:name="_Toc18362"/>
      <w:bookmarkStart w:id="12" w:name="_Toc4431_WPSOffice_Level1"/>
      <w:bookmarkStart w:id="13" w:name="_Toc14251"/>
      <w:bookmarkStart w:id="14" w:name="_Toc8398"/>
      <w:bookmarkStart w:id="15" w:name="_Toc2681"/>
    </w:p>
    <w:p w14:paraId="15994E2E">
      <w:pPr>
        <w:spacing w:line="360" w:lineRule="auto"/>
        <w:jc w:val="center"/>
        <w:rPr>
          <w:rFonts w:ascii="仿宋_GB2312" w:hAnsi="仿宋_GB2312" w:eastAsia="仿宋_GB2312" w:cs="仿宋_GB2312"/>
          <w:b/>
          <w:sz w:val="32"/>
          <w:highlight w:val="none"/>
        </w:rPr>
      </w:pPr>
      <w:r>
        <w:rPr>
          <w:rFonts w:hint="eastAsia" w:ascii="仿宋_GB2312" w:hAnsi="仿宋_GB2312" w:eastAsia="仿宋_GB2312" w:cs="仿宋_GB2312"/>
          <w:sz w:val="24"/>
          <w:highlight w:val="none"/>
        </w:rPr>
        <w:t>（如本章内容与遴选文件其它章节内容有冲突，应以本部分内容为准。）</w:t>
      </w:r>
    </w:p>
    <w:p w14:paraId="560A85D1">
      <w:pPr>
        <w:rPr>
          <w:highlight w:val="none"/>
        </w:rPr>
      </w:pPr>
    </w:p>
    <w:p w14:paraId="2B7830C2">
      <w:pPr>
        <w:spacing w:line="360" w:lineRule="auto"/>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一、项目概况</w:t>
      </w:r>
    </w:p>
    <w:p w14:paraId="33F69F43">
      <w:pPr>
        <w:spacing w:line="360" w:lineRule="auto"/>
        <w:ind w:firstLine="48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2014年，中央提出京津冀协同发展战略，京津冀三地作为一个整体协同发展。首都博物馆与天津博物馆、河北博物院积极响应国家重大战略决策，推动公共服务共建共享，陆续推出一系列联合举办展览、科研、出版项目，形成三地博物馆优势互补、互利共赢的协同发展新格局。北京大运河博物馆（首都博物馆东馆）位于城市副中心，是推动京津冀协同发展中公共服务共建共享的重要平台。据此采购人拟引进天津博物馆推介“帆海融光——天津博物馆藏中国外销纹章瓷器特展”。该展览为文物展，通过展示138件套清代外销纹章瓷器精品，展现中外文化互鉴、交流、融合，同时更好领略“一带一路”战略构想的伟大创举。展览由首都博物馆、天津博物馆主办，首都博物馆承办。拟在北京大运河博物馆（首都博物馆东馆）京津冀主题厅12号厅展出，展示面积740平方米。</w:t>
      </w:r>
    </w:p>
    <w:p w14:paraId="4B4B5F6D">
      <w:pPr>
        <w:spacing w:line="360" w:lineRule="auto"/>
        <w:ind w:firstLine="480"/>
        <w:jc w:val="left"/>
        <w:rPr>
          <w:rFonts w:ascii="仿宋_GB2312" w:hAnsi="仿宋_GB2312" w:eastAsia="仿宋_GB2312" w:cs="仿宋_GB2312"/>
          <w:sz w:val="24"/>
          <w:highlight w:val="none"/>
        </w:rPr>
      </w:pPr>
    </w:p>
    <w:p w14:paraId="3AC6274A">
      <w:pPr>
        <w:spacing w:line="360" w:lineRule="auto"/>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二、商务条件</w:t>
      </w:r>
    </w:p>
    <w:p w14:paraId="72ACB879">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服务期限：自合同签定之日起开始进行展览设计制作工作，于2025年10月28日前完成制作布展并通过验收，2026年2月28日展览结束后7日内全部撤展完成，展厅恢复原状。以上开闭展日期为预计时间，具体按采购人要求。</w:t>
      </w:r>
    </w:p>
    <w:p w14:paraId="3676312A">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2、服务地点：北京大运河博物馆（首都博物馆东馆）京津冀主题厅12号厅</w:t>
      </w:r>
    </w:p>
    <w:p w14:paraId="51EC528F">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3、支付方式：</w:t>
      </w:r>
    </w:p>
    <w:p w14:paraId="6EB2E54A">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合同签订生效后10个工作日内，供应商向采购人支付合同金额10%的履约保证金（</w:t>
      </w:r>
      <w:r>
        <w:rPr>
          <w:rFonts w:hint="eastAsia" w:ascii="仿宋_GB2312" w:hAnsi="仿宋_GB2312" w:eastAsia="仿宋_GB2312" w:cs="仿宋_GB2312"/>
          <w:sz w:val="24"/>
          <w:szCs w:val="24"/>
          <w:highlight w:val="none"/>
        </w:rPr>
        <w:t>履约保证金可以支票、汇票、本票、保函等方式进行提交</w:t>
      </w:r>
      <w:r>
        <w:rPr>
          <w:rFonts w:hint="eastAsia" w:ascii="仿宋_GB2312" w:hAnsi="仿宋_GB2312" w:eastAsia="仿宋_GB2312" w:cs="仿宋_GB2312"/>
          <w:sz w:val="24"/>
          <w:highlight w:val="none"/>
        </w:rPr>
        <w:t>）；</w:t>
      </w:r>
    </w:p>
    <w:p w14:paraId="796C1AAA">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采购人在财政资金到位后10个工作日内支付供应商50%合同款；</w:t>
      </w:r>
    </w:p>
    <w:p w14:paraId="347968E1">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布展完成并验收合格之日，且采购人财政资金到位后10个工作日内，采购人向供应商支付30%合同款；</w:t>
      </w:r>
    </w:p>
    <w:p w14:paraId="117719E8">
      <w:pPr>
        <w:spacing w:line="360" w:lineRule="auto"/>
        <w:ind w:firstLine="480" w:firstLineChars="200"/>
        <w:jc w:val="left"/>
        <w:rPr>
          <w:rFonts w:ascii="仿宋" w:hAnsi="仿宋" w:eastAsia="仿宋_GB2312" w:cs="仿宋_GB2312"/>
          <w:sz w:val="24"/>
          <w:highlight w:val="none"/>
        </w:rPr>
      </w:pPr>
      <w:r>
        <w:rPr>
          <w:rFonts w:hint="eastAsia" w:ascii="仿宋_GB2312" w:hAnsi="仿宋_GB2312" w:eastAsia="仿宋_GB2312" w:cs="仿宋_GB2312"/>
          <w:sz w:val="24"/>
          <w:highlight w:val="none"/>
        </w:rPr>
        <w:t>展品撤场后拆除并清理复原完毕，且采购人财政资金到位后10个工作日内，采购人向供应商支付剩余合同款。如整个服务期无任何质量问题发生，且没有因为供应商违约导致扣款的，采购人同时无息退还供应商的履约保证金。</w:t>
      </w:r>
    </w:p>
    <w:p w14:paraId="6E9044B7">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所有款项均需待财政资金到位后支付，因财政资金延迟到位导致的采购人延期付款，不视为采购人违约。</w:t>
      </w:r>
    </w:p>
    <w:p w14:paraId="280F6265">
      <w:pPr>
        <w:spacing w:line="360" w:lineRule="auto"/>
        <w:rPr>
          <w:rFonts w:ascii="仿宋_GB2312" w:hAnsi="仿宋_GB2312" w:eastAsia="仿宋_GB2312" w:cs="仿宋_GB2312"/>
          <w:sz w:val="24"/>
          <w:szCs w:val="24"/>
          <w:highlight w:val="none"/>
        </w:rPr>
      </w:pPr>
      <w:r>
        <w:rPr>
          <w:rFonts w:hint="eastAsia" w:ascii="仿宋_GB2312" w:hAnsi="仿宋_GB2312" w:eastAsia="仿宋_GB2312" w:cs="仿宋_GB2312"/>
          <w:sz w:val="24"/>
          <w:highlight w:val="none"/>
        </w:rPr>
        <w:t>4、</w:t>
      </w:r>
      <w:r>
        <w:rPr>
          <w:rFonts w:hint="eastAsia" w:ascii="仿宋_GB2312" w:hAnsi="仿宋_GB2312" w:eastAsia="仿宋_GB2312" w:cs="仿宋_GB2312"/>
          <w:sz w:val="24"/>
          <w:szCs w:val="24"/>
          <w:highlight w:val="none"/>
        </w:rPr>
        <w:t>质保期：本项目质保期从展览制作完成并验收合格之日起至展品撤场后拆除并清理复原完毕止。</w:t>
      </w:r>
    </w:p>
    <w:p w14:paraId="5EAD1468">
      <w:pPr>
        <w:spacing w:line="360" w:lineRule="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（1）质保期内，供应商应保证展览品质。</w:t>
      </w:r>
    </w:p>
    <w:p w14:paraId="5805FEE2">
      <w:pPr>
        <w:spacing w:line="360" w:lineRule="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（2）项目撤展后，供应商需在10个工作日内把展厅清理干净、恢复进场前原状。</w:t>
      </w:r>
    </w:p>
    <w:p w14:paraId="5AEF1121">
      <w:pPr>
        <w:spacing w:line="360" w:lineRule="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质保期内，如出现问题，供应商应在接到采购人通知后24小时内派维修服务人员到场与采购人共同处理。如确属实施造成的质量问题，供应商负责修理，费用由供应商承担。供应商怠于或拒绝履行保修义务的，采购人有权聘请第三方代为履行，费用由供应商承担，采购人有权从履约保证金中直接扣除相应费用；如果是其他非供应商原因而引起的问题，采购人可委托供应商负责维修，费用由采购人支付。</w:t>
      </w:r>
    </w:p>
    <w:p w14:paraId="2F9463D6">
      <w:pPr>
        <w:spacing w:line="360" w:lineRule="auto"/>
        <w:jc w:val="left"/>
        <w:rPr>
          <w:rFonts w:ascii="仿宋_GB2312" w:hAnsi="仿宋_GB2312" w:eastAsia="仿宋_GB2312" w:cs="仿宋_GB2312"/>
          <w:sz w:val="24"/>
          <w:highlight w:val="none"/>
        </w:rPr>
      </w:pPr>
    </w:p>
    <w:p w14:paraId="1630127A">
      <w:pPr>
        <w:spacing w:line="360" w:lineRule="auto"/>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三、技术要求</w:t>
      </w:r>
    </w:p>
    <w:p w14:paraId="6FC3A3C4">
      <w:pPr>
        <w:spacing w:line="360" w:lineRule="auto"/>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（一）基本要求</w:t>
      </w:r>
    </w:p>
    <w:p w14:paraId="4E6F2E55">
      <w:pPr>
        <w:spacing w:line="360" w:lineRule="auto"/>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1、采购标的需实现的功能或者目标</w:t>
      </w:r>
    </w:p>
    <w:p w14:paraId="5F715AC2">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主要向参观者讲述中国外销纹章瓷器的故事；纹章瓷是中国外销瓷的一个重要组成部分，是由中国制瓷工匠依照外国商人所提供的徽章设计图专门绘制而成，与贵族家庭或社会团体的重要历史事件有关，承载着丰富的历史信息，既有中国传统制瓷工艺的特点，又有欧美主流的审美意趣，是中外文化交流融合的重要物证。</w:t>
      </w:r>
    </w:p>
    <w:p w14:paraId="14A4235E">
      <w:pPr>
        <w:spacing w:line="360" w:lineRule="auto"/>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2、服务标准要求</w:t>
      </w:r>
    </w:p>
    <w:p w14:paraId="0AFB9CF2">
      <w:pPr>
        <w:spacing w:line="360" w:lineRule="auto"/>
        <w:ind w:firstLine="480" w:firstLineChars="200"/>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本项目须遵循国家相关法律法规及相关行业的规范标准，如下列标准及规范要求与</w:t>
      </w:r>
      <w:r>
        <w:rPr>
          <w:rFonts w:hint="eastAsia" w:ascii="仿宋_GB2312" w:hAnsi="仿宋_GB2312" w:eastAsia="仿宋_GB2312" w:cs="仿宋_GB2312"/>
          <w:sz w:val="24"/>
          <w:highlight w:val="none"/>
        </w:rPr>
        <w:t>采购文件</w:t>
      </w:r>
      <w:r>
        <w:rPr>
          <w:rFonts w:ascii="仿宋_GB2312" w:hAnsi="仿宋_GB2312" w:eastAsia="仿宋_GB2312" w:cs="仿宋_GB2312"/>
          <w:sz w:val="24"/>
          <w:highlight w:val="none"/>
        </w:rPr>
        <w:t>要求有出入则以较严格者为准。相关依据及参考标准（包括但不限于）如下：</w:t>
      </w:r>
    </w:p>
    <w:p w14:paraId="2E57AC70">
      <w:pPr>
        <w:spacing w:line="360" w:lineRule="auto"/>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《中华人民共和国消防法》；</w:t>
      </w:r>
    </w:p>
    <w:p w14:paraId="44A0A0E2">
      <w:pPr>
        <w:spacing w:line="360" w:lineRule="auto"/>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《博物馆管理办法》；</w:t>
      </w:r>
    </w:p>
    <w:p w14:paraId="1EAD2997">
      <w:pPr>
        <w:spacing w:line="360" w:lineRule="auto"/>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《建筑制图标准》（GB/T50104-2010）；</w:t>
      </w:r>
    </w:p>
    <w:p w14:paraId="728DA561">
      <w:pPr>
        <w:spacing w:line="360" w:lineRule="auto"/>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《CAD工程制图规则》（GB/T 18229</w:t>
      </w:r>
      <w:r>
        <w:rPr>
          <w:rFonts w:ascii="仿宋" w:hAnsi="仿宋" w:eastAsia="仿宋"/>
          <w:sz w:val="24"/>
          <w:szCs w:val="24"/>
          <w:highlight w:val="none"/>
          <w:lang w:bidi="ar"/>
        </w:rPr>
        <w:t>-2000</w:t>
      </w:r>
      <w:r>
        <w:rPr>
          <w:rFonts w:ascii="仿宋_GB2312" w:hAnsi="仿宋_GB2312" w:eastAsia="仿宋_GB2312" w:cs="仿宋_GB2312"/>
          <w:sz w:val="24"/>
          <w:highlight w:val="none"/>
        </w:rPr>
        <w:t>）</w:t>
      </w:r>
    </w:p>
    <w:p w14:paraId="5A41E1FB">
      <w:pPr>
        <w:spacing w:line="360" w:lineRule="auto"/>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《CAD通用技术规范》（GB/T17304-2009）；</w:t>
      </w:r>
    </w:p>
    <w:p w14:paraId="72813DE2">
      <w:pPr>
        <w:spacing w:line="360" w:lineRule="auto"/>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《建筑内部装修设计防火规范》（GB50222-2017）；</w:t>
      </w:r>
    </w:p>
    <w:p w14:paraId="32CE55EA">
      <w:pPr>
        <w:spacing w:line="360" w:lineRule="auto"/>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《民用建筑工程室内环境污染控制规范》（GB50325-20</w:t>
      </w:r>
      <w:r>
        <w:rPr>
          <w:rFonts w:hint="eastAsia" w:ascii="仿宋_GB2312" w:hAnsi="仿宋_GB2312" w:eastAsia="仿宋_GB2312" w:cs="仿宋_GB2312"/>
          <w:sz w:val="24"/>
          <w:highlight w:val="none"/>
        </w:rPr>
        <w:t>20</w:t>
      </w:r>
      <w:r>
        <w:rPr>
          <w:rFonts w:ascii="仿宋_GB2312" w:hAnsi="仿宋_GB2312" w:eastAsia="仿宋_GB2312" w:cs="仿宋_GB2312"/>
          <w:sz w:val="24"/>
          <w:highlight w:val="none"/>
        </w:rPr>
        <w:t>）；</w:t>
      </w:r>
    </w:p>
    <w:p w14:paraId="49C325D4">
      <w:pPr>
        <w:spacing w:line="360" w:lineRule="auto"/>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《建筑装饰装修工程施工质量验收规范》（GB50210-20</w:t>
      </w:r>
      <w:r>
        <w:rPr>
          <w:rFonts w:hint="eastAsia" w:ascii="仿宋_GB2312" w:hAnsi="仿宋_GB2312" w:eastAsia="仿宋_GB2312" w:cs="仿宋_GB2312"/>
          <w:sz w:val="24"/>
          <w:highlight w:val="none"/>
        </w:rPr>
        <w:t>18</w:t>
      </w:r>
      <w:r>
        <w:rPr>
          <w:rFonts w:ascii="仿宋_GB2312" w:hAnsi="仿宋_GB2312" w:eastAsia="仿宋_GB2312" w:cs="仿宋_GB2312"/>
          <w:sz w:val="24"/>
          <w:highlight w:val="none"/>
        </w:rPr>
        <w:t>）；</w:t>
      </w:r>
    </w:p>
    <w:p w14:paraId="27F6FB12">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《民用建筑电气设计标准》（GB51348-2019）</w:t>
      </w:r>
      <w:r>
        <w:rPr>
          <w:rFonts w:ascii="仿宋_GB2312" w:hAnsi="仿宋_GB2312" w:eastAsia="仿宋_GB2312" w:cs="仿宋_GB2312"/>
          <w:sz w:val="24"/>
          <w:highlight w:val="none"/>
        </w:rPr>
        <w:t>；</w:t>
      </w:r>
    </w:p>
    <w:p w14:paraId="439F9BD6">
      <w:pPr>
        <w:spacing w:line="360" w:lineRule="auto"/>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《博物馆建筑设计规范》（JGJ66-2015）；</w:t>
      </w:r>
    </w:p>
    <w:p w14:paraId="4B8583C4">
      <w:pPr>
        <w:spacing w:line="360" w:lineRule="auto"/>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《博物馆照明设计规范》（GB/T23863-</w:t>
      </w:r>
      <w:r>
        <w:rPr>
          <w:rFonts w:hint="eastAsia" w:ascii="仿宋_GB2312" w:hAnsi="仿宋_GB2312" w:eastAsia="仿宋_GB2312" w:cs="仿宋_GB2312"/>
          <w:sz w:val="24"/>
          <w:highlight w:val="none"/>
        </w:rPr>
        <w:t>2024</w:t>
      </w:r>
      <w:r>
        <w:rPr>
          <w:rFonts w:ascii="仿宋_GB2312" w:hAnsi="仿宋_GB2312" w:eastAsia="仿宋_GB2312" w:cs="仿宋_GB2312"/>
          <w:sz w:val="24"/>
          <w:highlight w:val="none"/>
        </w:rPr>
        <w:t>）；</w:t>
      </w:r>
    </w:p>
    <w:p w14:paraId="292345F2">
      <w:pPr>
        <w:spacing w:line="360" w:lineRule="auto"/>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《安全防范工程技术标准》（GB50348-2018）；</w:t>
      </w:r>
    </w:p>
    <w:p w14:paraId="2FB2090B">
      <w:pPr>
        <w:spacing w:line="360" w:lineRule="auto"/>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《博物馆安全保卫工作规定》；</w:t>
      </w:r>
    </w:p>
    <w:p w14:paraId="017AF356">
      <w:pPr>
        <w:spacing w:line="360" w:lineRule="auto"/>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《室内空气质量标准》（GB/T18883-2022）；</w:t>
      </w:r>
    </w:p>
    <w:p w14:paraId="43F139B1">
      <w:pPr>
        <w:spacing w:line="360" w:lineRule="auto"/>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《民用建筑工程室内环境污染控制</w:t>
      </w:r>
      <w:r>
        <w:rPr>
          <w:rFonts w:hint="eastAsia" w:ascii="仿宋" w:hAnsi="仿宋" w:eastAsia="仿宋"/>
          <w:sz w:val="24"/>
          <w:szCs w:val="24"/>
          <w:highlight w:val="none"/>
          <w:lang w:bidi="ar"/>
        </w:rPr>
        <w:t>标准</w:t>
      </w:r>
      <w:r>
        <w:rPr>
          <w:rFonts w:ascii="仿宋_GB2312" w:hAnsi="仿宋_GB2312" w:eastAsia="仿宋_GB2312" w:cs="仿宋_GB2312"/>
          <w:sz w:val="24"/>
          <w:highlight w:val="none"/>
        </w:rPr>
        <w:t>》(GB 50325-20</w:t>
      </w:r>
      <w:r>
        <w:rPr>
          <w:rFonts w:hint="eastAsia" w:ascii="仿宋_GB2312" w:hAnsi="仿宋_GB2312" w:eastAsia="仿宋_GB2312" w:cs="仿宋_GB2312"/>
          <w:sz w:val="24"/>
          <w:highlight w:val="none"/>
        </w:rPr>
        <w:t>2</w:t>
      </w:r>
      <w:r>
        <w:rPr>
          <w:rFonts w:ascii="仿宋_GB2312" w:hAnsi="仿宋_GB2312" w:eastAsia="仿宋_GB2312" w:cs="仿宋_GB2312"/>
          <w:sz w:val="24"/>
          <w:highlight w:val="none"/>
        </w:rPr>
        <w:t>0)；</w:t>
      </w:r>
    </w:p>
    <w:p w14:paraId="15C1FE09">
      <w:pPr>
        <w:spacing w:line="360" w:lineRule="auto"/>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《博物馆陈列展览形式设计与施工规范》（WW/T0089-2018）；</w:t>
      </w:r>
    </w:p>
    <w:p w14:paraId="711D1C48">
      <w:pPr>
        <w:spacing w:line="360" w:lineRule="auto"/>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《文物展柜基本技术要求及检测》（GBT36111—2018）</w:t>
      </w:r>
    </w:p>
    <w:p w14:paraId="47D99D9D">
      <w:pPr>
        <w:spacing w:line="360" w:lineRule="auto"/>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财政部《财政部陈列展览项目支出预算方案编制规范和预算编制标准试行办法》（财办预[2017]56号）</w:t>
      </w:r>
    </w:p>
    <w:p w14:paraId="529C1D92">
      <w:pPr>
        <w:spacing w:line="360" w:lineRule="auto"/>
        <w:ind w:firstLine="480" w:firstLineChars="200"/>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上述标准、规范及规程仅是本项目最基本的依据，并未包括实施中所涉及到的所有标准、规范和规程，并且所用标准和技术规范均应为合同签订之日</w:t>
      </w:r>
      <w:r>
        <w:rPr>
          <w:rFonts w:hint="eastAsia" w:ascii="仿宋_GB2312" w:hAnsi="仿宋_GB2312" w:eastAsia="仿宋_GB2312" w:cs="仿宋_GB2312"/>
          <w:sz w:val="24"/>
          <w:highlight w:val="none"/>
        </w:rPr>
        <w:t>起到全部服务结束</w:t>
      </w:r>
      <w:r>
        <w:rPr>
          <w:rFonts w:ascii="仿宋_GB2312" w:hAnsi="仿宋_GB2312" w:eastAsia="仿宋_GB2312" w:cs="仿宋_GB2312"/>
          <w:sz w:val="24"/>
          <w:highlight w:val="none"/>
        </w:rPr>
        <w:t>为止时的最新版本。</w:t>
      </w:r>
    </w:p>
    <w:p w14:paraId="75D95030">
      <w:pPr>
        <w:spacing w:line="360" w:lineRule="auto"/>
        <w:ind w:firstLine="480" w:firstLineChars="200"/>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若</w:t>
      </w:r>
      <w:r>
        <w:rPr>
          <w:rFonts w:hint="eastAsia" w:ascii="仿宋_GB2312" w:hAnsi="仿宋_GB2312" w:eastAsia="仿宋_GB2312" w:cs="仿宋_GB2312"/>
          <w:sz w:val="24"/>
          <w:highlight w:val="none"/>
        </w:rPr>
        <w:t>供应商</w:t>
      </w:r>
      <w:r>
        <w:rPr>
          <w:rFonts w:ascii="仿宋_GB2312" w:hAnsi="仿宋_GB2312" w:eastAsia="仿宋_GB2312" w:cs="仿宋_GB2312"/>
          <w:sz w:val="24"/>
          <w:highlight w:val="none"/>
        </w:rPr>
        <w:t>使用的标准在本标书规定外，则应明确说明用于替代的标准或使用规范，并提供所使用的标准，该标准必须是国际公认的同等或更高级的标准。</w:t>
      </w:r>
    </w:p>
    <w:p w14:paraId="36528FC3">
      <w:pPr>
        <w:spacing w:line="360" w:lineRule="auto"/>
        <w:jc w:val="left"/>
        <w:rPr>
          <w:rFonts w:ascii="仿宋_GB2312" w:hAnsi="仿宋_GB2312" w:eastAsia="仿宋_GB2312" w:cs="仿宋_GB2312"/>
          <w:b/>
          <w:bCs/>
          <w:sz w:val="24"/>
          <w:highlight w:val="none"/>
        </w:rPr>
      </w:pPr>
    </w:p>
    <w:p w14:paraId="58BAC80D">
      <w:pPr>
        <w:spacing w:line="360" w:lineRule="auto"/>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（二）服务内容及要求</w:t>
      </w:r>
    </w:p>
    <w:p w14:paraId="5C9070C7">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1、具体服务内容</w:t>
      </w:r>
    </w:p>
    <w:p w14:paraId="6919C96F">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（1）对采购人提供的展览素材进行深化设计并报请采购人审批通过。</w:t>
      </w:r>
    </w:p>
    <w:p w14:paraId="7666F86D">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（2）需按照经采购人审批通过后的施工图进行生产制作。</w:t>
      </w:r>
    </w:p>
    <w:p w14:paraId="30F69AF7">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（3）对施工阶段的成品、半成品进行相应的保护。</w:t>
      </w:r>
    </w:p>
    <w:p w14:paraId="3815604F">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（4）展览展墙的搭建、地面面层的铺设。</w:t>
      </w:r>
    </w:p>
    <w:p w14:paraId="4577F64C">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（5）敷设临时照明、展览设备设施用电等电路线路。</w:t>
      </w:r>
    </w:p>
    <w:p w14:paraId="52465E11">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（6）展览相关场景、模型的制作、运输与安装。</w:t>
      </w:r>
    </w:p>
    <w:p w14:paraId="3E8F5C63">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（7）平面版式及辅助展品、展板的深化设计及制作。</w:t>
      </w:r>
    </w:p>
    <w:p w14:paraId="6A31AF62">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（8）柜内展架的制作与安装。</w:t>
      </w:r>
    </w:p>
    <w:p w14:paraId="7A744D51">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（9）展品布、撤展阶段的相关施工配合工作。</w:t>
      </w:r>
    </w:p>
    <w:p w14:paraId="0F8C81C2">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（10）展览结束后的相关拆除并清理复原以及垃圾清运。</w:t>
      </w:r>
    </w:p>
    <w:p w14:paraId="18910BF0">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（11）多媒体项目的制作及安装，并保证展陈期间保障数字影片与软件的版权合法性。</w:t>
      </w:r>
    </w:p>
    <w:p w14:paraId="0A0D8994">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（12）展览现场施工过程中其他应由供应商配合完成的工作，如展览灯具调试配合工作等。</w:t>
      </w:r>
    </w:p>
    <w:p w14:paraId="5CC8A4C1">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2、服务要求</w:t>
      </w:r>
    </w:p>
    <w:p w14:paraId="42A0C902">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（1）采购人可以在不影响总价与工期的前提下，对已确定的方案进行合理性的变更，供应商应尽可能配合采购人的变更要求。</w:t>
      </w:r>
    </w:p>
    <w:p w14:paraId="642ECB27">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（2）本项目所有设计文件的版权最终全部归采购人所有。</w:t>
      </w:r>
    </w:p>
    <w:p w14:paraId="02DE0813">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（3）供应商的报价应包括</w:t>
      </w:r>
    </w:p>
    <w:p w14:paraId="279D8473">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1）文物保护的恒温恒湿设备（馆里业务负责部门无法提供的部分）的租赁及安装维护费用；</w:t>
      </w:r>
    </w:p>
    <w:p w14:paraId="6D006010">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2）深化设计需增加的临时展柜、展台的制作、运输与安装；</w:t>
      </w:r>
    </w:p>
    <w:p w14:paraId="20299A4C">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3）展墙、隔断、展板的设计、制作及安装；展具的制作及安装；展标、前言、结语、部题、说明牌、开幕式背板、宣传海报等文字版式以及立面设计的图文版式的设计、制作及安装；</w:t>
      </w:r>
    </w:p>
    <w:p w14:paraId="6A2F3DEB">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4）根据展览要求对现有照明设备的改造及调试；</w:t>
      </w:r>
    </w:p>
    <w:p w14:paraId="06096275">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5）场景的制作、运输、安装；</w:t>
      </w:r>
    </w:p>
    <w:p w14:paraId="08D451A7">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6）撤展及清理复原等相关工作。</w:t>
      </w:r>
    </w:p>
    <w:p w14:paraId="1593D33D">
      <w:pPr>
        <w:spacing w:line="360" w:lineRule="auto"/>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展览完工验收一周内，成交供应商应将全部的设计图纸、施工图纸及相关资料文档(文本资料和电子版)交由首都博物馆存档。施工完毕及时将设计文件（必须包含方案设计图、深化设计以及施工图以及展览竣工图图纸的文本资料和电子版）存档并交付首博，配合结算评审工作。</w:t>
      </w:r>
    </w:p>
    <w:p w14:paraId="41C13B1F">
      <w:pPr>
        <w:spacing w:line="360" w:lineRule="auto"/>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（5）布展施工期间，供应商应做好地面保护及其他展厅设备设施的保护以及施工</w:t>
      </w:r>
      <w:r>
        <w:rPr>
          <w:rFonts w:ascii="仿宋_GB2312" w:hAnsi="仿宋_GB2312" w:eastAsia="仿宋_GB2312" w:cs="仿宋_GB2312"/>
          <w:sz w:val="24"/>
          <w:highlight w:val="none"/>
        </w:rPr>
        <w:t>安全</w:t>
      </w:r>
      <w:r>
        <w:rPr>
          <w:rFonts w:hint="eastAsia" w:ascii="仿宋_GB2312" w:hAnsi="仿宋_GB2312" w:eastAsia="仿宋_GB2312" w:cs="仿宋_GB2312"/>
          <w:sz w:val="24"/>
          <w:szCs w:val="24"/>
          <w:highlight w:val="none"/>
        </w:rPr>
        <w:t>。</w:t>
      </w:r>
    </w:p>
    <w:p w14:paraId="219C861D">
      <w:pPr>
        <w:spacing w:line="360" w:lineRule="auto"/>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首都博物馆展厅内不具备现场加工、施工、制作的条件，供应商应具备场外独立施工场地（自有工厂或有合作的加工制作工厂），并在施工场地完成包括展墙、隔断、展板、展具、说明牌等各类构配件的加工制作及预拼装流程，再运至首都博物馆相关展厅完成展览材料和各类展具的最终组装工作。</w:t>
      </w:r>
    </w:p>
    <w:p w14:paraId="4EC1B605">
      <w:pPr>
        <w:spacing w:line="360" w:lineRule="auto"/>
        <w:jc w:val="left"/>
        <w:rPr>
          <w:rFonts w:ascii="仿宋_GB2312" w:hAnsi="仿宋_GB2312" w:eastAsia="仿宋_GB2312" w:cs="仿宋_GB2312"/>
          <w:b/>
          <w:bCs/>
          <w:sz w:val="24"/>
          <w:highlight w:val="none"/>
        </w:rPr>
      </w:pPr>
    </w:p>
    <w:p w14:paraId="2D161386">
      <w:pPr>
        <w:spacing w:line="360" w:lineRule="auto"/>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（三）文物保护的技术要求</w:t>
      </w:r>
    </w:p>
    <w:p w14:paraId="6586B9CC">
      <w:pPr>
        <w:spacing w:line="360" w:lineRule="auto"/>
        <w:ind w:firstLine="480" w:firstLineChars="200"/>
        <w:jc w:val="left"/>
        <w:rPr>
          <w:rFonts w:ascii="仿宋_GB2312" w:hAnsi="仿宋_GB2312" w:eastAsia="仿宋_GB2312" w:cs="仿宋_GB2312"/>
          <w:b/>
          <w:bCs/>
          <w:sz w:val="24"/>
          <w:highlight w:val="none"/>
        </w:rPr>
      </w:pPr>
      <w:r>
        <w:rPr>
          <w:rFonts w:hint="eastAsia" w:ascii="仿宋_GB2312" w:hAnsi="仿宋_GB2312" w:eastAsia="仿宋_GB2312" w:cs="仿宋_GB2312"/>
          <w:sz w:val="24"/>
          <w:highlight w:val="none"/>
        </w:rPr>
        <w:t>关于文物保护的技术要求包含并不限于以下内容，其他未列出要求以文物保护相关规范为准。</w:t>
      </w:r>
    </w:p>
    <w:p w14:paraId="52B205AD">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1、在布展期间（展品上柜/下柜）严禁在展厅内施工，包括上漆、配电、木工、安装照明、使用梯子或桥式吊车。</w:t>
      </w:r>
    </w:p>
    <w:p w14:paraId="5D001662">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2、整个布展只允许使用水性油漆。</w:t>
      </w:r>
    </w:p>
    <w:p w14:paraId="23CD82C0">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3、布展所用的材料（尤其是柜内展具）不得含有任何甲醛、醋酸或其它污染物。</w:t>
      </w:r>
    </w:p>
    <w:p w14:paraId="466E79A6">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4、在制作展柜时仅能使用中性材料，即金属（钢、铝）、玻璃和某些塑料（有机玻璃）。</w:t>
      </w:r>
    </w:p>
    <w:p w14:paraId="0F5749F6">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5、制作的展柜外壳与柜内展具不允许使用任何压缩木料（严禁胶水外溢）。</w:t>
      </w:r>
    </w:p>
    <w:p w14:paraId="04F1C8B4">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6、制作的展柜内点光源与泛光照明相结合。</w:t>
      </w:r>
    </w:p>
    <w:p w14:paraId="3C13C968">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7、带有LCD液晶屏的展柜需具备通风系统（向展柜外散去液晶屏所产生的热量）。</w:t>
      </w:r>
    </w:p>
    <w:p w14:paraId="15EC4EB0">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8、任何外界灰尘均不得进入展柜内部。电子设备的风扇均会产生灰尘，故而不得使用。</w:t>
      </w:r>
    </w:p>
    <w:p w14:paraId="1632F2AE">
      <w:pPr>
        <w:spacing w:line="360" w:lineRule="auto"/>
        <w:jc w:val="left"/>
        <w:rPr>
          <w:rFonts w:ascii="仿宋_GB2312" w:hAnsi="仿宋_GB2312" w:eastAsia="仿宋_GB2312" w:cs="仿宋_GB2312"/>
          <w:b/>
          <w:bCs/>
          <w:sz w:val="24"/>
          <w:highlight w:val="none"/>
        </w:rPr>
      </w:pPr>
    </w:p>
    <w:p w14:paraId="28B01BDA">
      <w:pPr>
        <w:spacing w:line="360" w:lineRule="auto"/>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（四）首博展厅环境要求</w:t>
      </w:r>
    </w:p>
    <w:p w14:paraId="382D3F4C">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参照中华人民共和国《博物馆建筑设计规范（JGJ66—2015）》及《博物馆照明设计规范（GB/T 23863—2024）》相应部分的规定，展厅须按照下述所列技术参数提供温度、相对湿度、照度及烟雾尘埃与有害气体浓度限值的条件。</w:t>
      </w:r>
    </w:p>
    <w:p w14:paraId="503A1949">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（1）温度：展厅及临时库房须设置温度调节设备，温度保持在20℃±2℃，每日波动不超过2℃。</w:t>
      </w:r>
    </w:p>
    <w:p w14:paraId="341EA538">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（2）湿度：展厅及临时库房须设置湿度调节设备，保持相对湿度基本稳定，根据展品的材质确定参数，推荐值参照下表的规定：</w:t>
      </w:r>
    </w:p>
    <w:tbl>
      <w:tblPr>
        <w:tblStyle w:val="44"/>
        <w:tblW w:w="89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6138"/>
        <w:gridCol w:w="2111"/>
      </w:tblGrid>
      <w:tr w14:paraId="12F8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EE30424">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序号</w:t>
            </w:r>
          </w:p>
        </w:tc>
        <w:tc>
          <w:tcPr>
            <w:tcW w:w="6138" w:type="dxa"/>
          </w:tcPr>
          <w:p w14:paraId="223657BB">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材质类别</w:t>
            </w:r>
          </w:p>
        </w:tc>
        <w:tc>
          <w:tcPr>
            <w:tcW w:w="2111" w:type="dxa"/>
          </w:tcPr>
          <w:p w14:paraId="78EC3DEE">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相对湿度（%）</w:t>
            </w:r>
          </w:p>
        </w:tc>
      </w:tr>
      <w:tr w14:paraId="3220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59E9CE4">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6138" w:type="dxa"/>
          </w:tcPr>
          <w:p w14:paraId="5D322BD4">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金银器、青铜器、古钱币、陶瓷、石器、玉器玻璃等</w:t>
            </w:r>
          </w:p>
        </w:tc>
        <w:tc>
          <w:tcPr>
            <w:tcW w:w="2111" w:type="dxa"/>
          </w:tcPr>
          <w:p w14:paraId="412F3F59">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40～50</w:t>
            </w:r>
          </w:p>
        </w:tc>
      </w:tr>
      <w:tr w14:paraId="5DAE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A1FC685">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c>
          <w:tcPr>
            <w:tcW w:w="6138" w:type="dxa"/>
          </w:tcPr>
          <w:p w14:paraId="0A1325B9">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纸质书画、纺织品、腊叶植物标本等</w:t>
            </w:r>
          </w:p>
        </w:tc>
        <w:tc>
          <w:tcPr>
            <w:tcW w:w="2111" w:type="dxa"/>
          </w:tcPr>
          <w:p w14:paraId="47FF1D0E">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50～60</w:t>
            </w:r>
          </w:p>
        </w:tc>
      </w:tr>
      <w:tr w14:paraId="140C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9579A51">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c>
          <w:tcPr>
            <w:tcW w:w="6138" w:type="dxa"/>
          </w:tcPr>
          <w:p w14:paraId="5277B4F7">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竹器、木器、藤器、漆器、骨器、象牙、古生物化石等</w:t>
            </w:r>
          </w:p>
        </w:tc>
        <w:tc>
          <w:tcPr>
            <w:tcW w:w="2111" w:type="dxa"/>
          </w:tcPr>
          <w:p w14:paraId="104D63CF">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55～65</w:t>
            </w:r>
          </w:p>
        </w:tc>
      </w:tr>
      <w:tr w14:paraId="7EF7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1BF4A90">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w:t>
            </w:r>
          </w:p>
        </w:tc>
        <w:tc>
          <w:tcPr>
            <w:tcW w:w="6138" w:type="dxa"/>
          </w:tcPr>
          <w:p w14:paraId="468B5923">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墓葬壁画等</w:t>
            </w:r>
          </w:p>
        </w:tc>
        <w:tc>
          <w:tcPr>
            <w:tcW w:w="2111" w:type="dxa"/>
          </w:tcPr>
          <w:p w14:paraId="7137659C">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45～55</w:t>
            </w:r>
          </w:p>
        </w:tc>
      </w:tr>
      <w:tr w14:paraId="141A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3166CF4">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w:t>
            </w:r>
          </w:p>
        </w:tc>
        <w:tc>
          <w:tcPr>
            <w:tcW w:w="6138" w:type="dxa"/>
          </w:tcPr>
          <w:p w14:paraId="0591B150">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一般动、植物标本等</w:t>
            </w:r>
          </w:p>
        </w:tc>
        <w:tc>
          <w:tcPr>
            <w:tcW w:w="2111" w:type="dxa"/>
          </w:tcPr>
          <w:p w14:paraId="03EB6CCF">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40～60</w:t>
            </w:r>
          </w:p>
        </w:tc>
      </w:tr>
    </w:tbl>
    <w:p w14:paraId="285C554C">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（3）光照度：展场灯光应使用冷光源，根据展品的材质确定参数，推荐值参照下表的规定：</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6952"/>
        <w:gridCol w:w="1251"/>
      </w:tblGrid>
      <w:tr w14:paraId="44F6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20D722A1">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序号</w:t>
            </w:r>
          </w:p>
        </w:tc>
        <w:tc>
          <w:tcPr>
            <w:tcW w:w="6952" w:type="dxa"/>
          </w:tcPr>
          <w:p w14:paraId="39499249">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材质类别</w:t>
            </w:r>
          </w:p>
        </w:tc>
        <w:tc>
          <w:tcPr>
            <w:tcW w:w="1251" w:type="dxa"/>
          </w:tcPr>
          <w:p w14:paraId="3E6983CC">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照度（LX）</w:t>
            </w:r>
          </w:p>
        </w:tc>
      </w:tr>
      <w:tr w14:paraId="1495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0783A7FB">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6952" w:type="dxa"/>
          </w:tcPr>
          <w:p w14:paraId="51166D07">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对光特别敏感：绘画、织绣品、纸质物品、彩绘陶（石）器、染色皮革、动植物标本等</w:t>
            </w:r>
          </w:p>
        </w:tc>
        <w:tc>
          <w:tcPr>
            <w:tcW w:w="1251" w:type="dxa"/>
          </w:tcPr>
          <w:p w14:paraId="59276E2A">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≤50</w:t>
            </w:r>
          </w:p>
        </w:tc>
      </w:tr>
      <w:tr w14:paraId="0357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16864FA3">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c>
          <w:tcPr>
            <w:tcW w:w="6952" w:type="dxa"/>
          </w:tcPr>
          <w:p w14:paraId="38E195B5">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对光较敏感：竹器、木器、藤器、漆器、骨器、油画、壁画、牙骨角器、宝玉石器、天然皮革、银制品等</w:t>
            </w:r>
          </w:p>
        </w:tc>
        <w:tc>
          <w:tcPr>
            <w:tcW w:w="1251" w:type="dxa"/>
          </w:tcPr>
          <w:p w14:paraId="72774686">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≤150</w:t>
            </w:r>
          </w:p>
        </w:tc>
      </w:tr>
      <w:tr w14:paraId="1184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45" w:type="dxa"/>
          </w:tcPr>
          <w:p w14:paraId="4787A879">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c>
          <w:tcPr>
            <w:tcW w:w="6952" w:type="dxa"/>
          </w:tcPr>
          <w:p w14:paraId="0458F185">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对光不敏感：其他金属、石材、玻璃、陶瓷、珠宝、搪瓷、珐琅等</w:t>
            </w:r>
          </w:p>
        </w:tc>
        <w:tc>
          <w:tcPr>
            <w:tcW w:w="1251" w:type="dxa"/>
          </w:tcPr>
          <w:p w14:paraId="02ACA63A">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≤300</w:t>
            </w:r>
          </w:p>
        </w:tc>
      </w:tr>
    </w:tbl>
    <w:p w14:paraId="6EAA8A08">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（4）烟雾尘埃与有害气体浓度限值：展场及临时库房须设置通风或空气调节设备对新风采取过滤净化措施，浓度限值应符合下表的规定：</w:t>
      </w:r>
    </w:p>
    <w:tbl>
      <w:tblPr>
        <w:tblStyle w:val="44"/>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4374"/>
        <w:gridCol w:w="3129"/>
      </w:tblGrid>
      <w:tr w14:paraId="0258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vAlign w:val="center"/>
          </w:tcPr>
          <w:p w14:paraId="6EA0C608">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序号</w:t>
            </w:r>
          </w:p>
        </w:tc>
        <w:tc>
          <w:tcPr>
            <w:tcW w:w="4374" w:type="dxa"/>
            <w:vAlign w:val="center"/>
          </w:tcPr>
          <w:p w14:paraId="35605871">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污染物类别</w:t>
            </w:r>
          </w:p>
        </w:tc>
        <w:tc>
          <w:tcPr>
            <w:tcW w:w="3129" w:type="dxa"/>
            <w:vAlign w:val="center"/>
          </w:tcPr>
          <w:p w14:paraId="18504504">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浓度限值（㎎/㎡）</w:t>
            </w:r>
          </w:p>
        </w:tc>
      </w:tr>
      <w:tr w14:paraId="4AE6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vAlign w:val="center"/>
          </w:tcPr>
          <w:p w14:paraId="0586085A">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4374" w:type="dxa"/>
            <w:vAlign w:val="center"/>
          </w:tcPr>
          <w:p w14:paraId="4FA1388E">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烟雾尘埃</w:t>
            </w:r>
          </w:p>
        </w:tc>
        <w:tc>
          <w:tcPr>
            <w:tcW w:w="3129" w:type="dxa"/>
            <w:vAlign w:val="center"/>
          </w:tcPr>
          <w:p w14:paraId="0E2CC279">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0.15</w:t>
            </w:r>
          </w:p>
        </w:tc>
      </w:tr>
      <w:tr w14:paraId="7352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vAlign w:val="center"/>
          </w:tcPr>
          <w:p w14:paraId="73F4BFC7">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c>
          <w:tcPr>
            <w:tcW w:w="4374" w:type="dxa"/>
            <w:vAlign w:val="center"/>
          </w:tcPr>
          <w:p w14:paraId="41174353">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二氧化硫（SO2）</w:t>
            </w:r>
          </w:p>
        </w:tc>
        <w:tc>
          <w:tcPr>
            <w:tcW w:w="3129" w:type="dxa"/>
            <w:vAlign w:val="center"/>
          </w:tcPr>
          <w:p w14:paraId="4BE1FF63">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0.01</w:t>
            </w:r>
          </w:p>
        </w:tc>
      </w:tr>
      <w:tr w14:paraId="74AC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vAlign w:val="center"/>
          </w:tcPr>
          <w:p w14:paraId="47F2CBDA">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c>
          <w:tcPr>
            <w:tcW w:w="4374" w:type="dxa"/>
            <w:vAlign w:val="center"/>
          </w:tcPr>
          <w:p w14:paraId="675161F7">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二氧化氮（NO2）</w:t>
            </w:r>
          </w:p>
        </w:tc>
        <w:tc>
          <w:tcPr>
            <w:tcW w:w="3129" w:type="dxa"/>
            <w:vAlign w:val="center"/>
          </w:tcPr>
          <w:p w14:paraId="1B45B772">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0.01</w:t>
            </w:r>
          </w:p>
        </w:tc>
      </w:tr>
      <w:tr w14:paraId="3EFF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vAlign w:val="center"/>
          </w:tcPr>
          <w:p w14:paraId="258AB0D0">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w:t>
            </w:r>
          </w:p>
        </w:tc>
        <w:tc>
          <w:tcPr>
            <w:tcW w:w="4374" w:type="dxa"/>
            <w:vAlign w:val="center"/>
          </w:tcPr>
          <w:p w14:paraId="02C9AAA8">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臭氧（O3）</w:t>
            </w:r>
          </w:p>
        </w:tc>
        <w:tc>
          <w:tcPr>
            <w:tcW w:w="3129" w:type="dxa"/>
            <w:vAlign w:val="center"/>
          </w:tcPr>
          <w:p w14:paraId="07D46D93">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0.01</w:t>
            </w:r>
          </w:p>
        </w:tc>
      </w:tr>
      <w:tr w14:paraId="2C94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vAlign w:val="center"/>
          </w:tcPr>
          <w:p w14:paraId="76C1B5CE">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w:t>
            </w:r>
          </w:p>
        </w:tc>
        <w:tc>
          <w:tcPr>
            <w:tcW w:w="4374" w:type="dxa"/>
            <w:vAlign w:val="center"/>
          </w:tcPr>
          <w:p w14:paraId="08DC43BE">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一氧化氮（NO）</w:t>
            </w:r>
          </w:p>
        </w:tc>
        <w:tc>
          <w:tcPr>
            <w:tcW w:w="3129" w:type="dxa"/>
            <w:vAlign w:val="center"/>
          </w:tcPr>
          <w:p w14:paraId="05259517">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0.05</w:t>
            </w:r>
          </w:p>
        </w:tc>
      </w:tr>
      <w:tr w14:paraId="5371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vAlign w:val="center"/>
          </w:tcPr>
          <w:p w14:paraId="10CA8076">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w:t>
            </w:r>
          </w:p>
        </w:tc>
        <w:tc>
          <w:tcPr>
            <w:tcW w:w="4374" w:type="dxa"/>
            <w:vAlign w:val="center"/>
          </w:tcPr>
          <w:p w14:paraId="122A26BF">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一氧化碳（CO）</w:t>
            </w:r>
          </w:p>
        </w:tc>
        <w:tc>
          <w:tcPr>
            <w:tcW w:w="3129" w:type="dxa"/>
            <w:vAlign w:val="center"/>
          </w:tcPr>
          <w:p w14:paraId="1083054A">
            <w:pPr>
              <w:spacing w:line="36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4.00</w:t>
            </w:r>
          </w:p>
        </w:tc>
      </w:tr>
    </w:tbl>
    <w:p w14:paraId="3B62AF55">
      <w:pPr>
        <w:spacing w:line="360" w:lineRule="auto"/>
        <w:jc w:val="left"/>
        <w:rPr>
          <w:rFonts w:ascii="仿宋_GB2312" w:hAnsi="仿宋_GB2312" w:eastAsia="仿宋_GB2312" w:cs="仿宋_GB2312"/>
          <w:b/>
          <w:bCs/>
          <w:sz w:val="24"/>
          <w:highlight w:val="none"/>
        </w:rPr>
      </w:pPr>
    </w:p>
    <w:p w14:paraId="72F98577">
      <w:pPr>
        <w:spacing w:line="360" w:lineRule="auto"/>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（五）临时制作展柜的技术要求</w:t>
      </w:r>
    </w:p>
    <w:p w14:paraId="7F439A51">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1、功能要求</w:t>
      </w:r>
    </w:p>
    <w:p w14:paraId="523270A6">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展柜应具有良好的密闭性和高度的安全性，能够满足珍贵文物对展示微环境的严格要求。加装恒湿设备的展柜，其展示空间湿度的控制范围和稳定性需达到文物保护的要求。</w:t>
      </w:r>
    </w:p>
    <w:p w14:paraId="1AD20D35">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2、外观要求</w:t>
      </w:r>
    </w:p>
    <w:p w14:paraId="6F508985">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展柜外观应稳重、现代，加工工艺精致，接缝线条挺拔顺直，锁闭功能设计要安全合理，锁眼不外露，设计外观、面材及尺度分配见各不同类型展柜设计图纸。</w:t>
      </w:r>
    </w:p>
    <w:p w14:paraId="3885962F">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3、材料要求</w:t>
      </w:r>
    </w:p>
    <w:p w14:paraId="49FB4AA9">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框架结构：展示柜框架为金属结构，做防锈处理。主框架基座为钢结构，钢材料选用符合GB13237-2013规定厚度的方钢管，设计有水平调节装置，外表面为钢质或木质防火饰面板，颜色和质感按甲方要求为准，基座承载能力≥150kg/m</w:t>
      </w:r>
      <w:r>
        <w:rPr>
          <w:rFonts w:ascii="仿宋_GB2312" w:hAnsi="仿宋_GB2312" w:eastAsia="仿宋_GB2312" w:cs="仿宋_GB2312"/>
          <w:sz w:val="24"/>
          <w:highlight w:val="none"/>
          <w:vertAlign w:val="superscript"/>
        </w:rPr>
        <w:t>2</w:t>
      </w:r>
      <w:r>
        <w:rPr>
          <w:rFonts w:hint="eastAsia" w:ascii="仿宋_GB2312" w:hAnsi="仿宋_GB2312" w:eastAsia="仿宋_GB2312" w:cs="仿宋_GB2312"/>
          <w:sz w:val="24"/>
          <w:highlight w:val="none"/>
        </w:rPr>
        <w:t>。配套设备提供安装空间，展柜设备安装空间的检修门与展柜展示区域的门分别控制，以保证展陈部分的安全性及密封性。所用材料应向采购人提供材质单及其质检报告。</w:t>
      </w:r>
    </w:p>
    <w:p w14:paraId="1038EFB4">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陈列部分玻璃：文物展示柜玻璃采用6+1.52+6㎜以上厚度（视不同展柜类型分别确定）的夹胶防爆膜、防紫外线超白玻璃，原片玻璃透光率不低于92%。夹胶后玻璃透光率不低于86%。隔板玻璃采用3+0.76+3mm厚的乳白夹胶玻璃。外露边缘精抛光，不被看见的边缘不要求抛光，但须磨边。外露角必须倒为安全角。玻璃防盗、安全性能符合GB15763.3-2009标准的规定，并且可以阻挡99%的紫外光（波长为320—380纳米）。</w:t>
      </w:r>
    </w:p>
    <w:p w14:paraId="287B0C87">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（3）结构边框材料：型材与玻璃连接部分的结构符合高性能展柜的要求，使用高性能牌号的铝合金型材（6063），时效状态为T5，韦氏硬度不小于8。表面经过静电喷涂处理，喷涂符合国家标准规定。</w:t>
      </w:r>
    </w:p>
    <w:p w14:paraId="56FB013A">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（4）玻璃与边框的粘接为不小于30mm的完全密封粘接，确保展柜玻璃板的牢固性，防撬性，密封性及防爆性。</w:t>
      </w:r>
    </w:p>
    <w:p w14:paraId="2BAFD711">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（5）玻璃及结构框之间的粘接剂，粘接剂指标为：剪切强度≥4Mpa；拉伸强度≥6.3Mpa，粘结剂采用符合国际标准的环保产品，不能挥发对展品产生危害的物质。</w:t>
      </w:r>
    </w:p>
    <w:p w14:paraId="37E6ECF8">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（6）开启系统：根据不同柜型采用不同的科学合理的玻璃门开启方式。</w:t>
      </w:r>
    </w:p>
    <w:p w14:paraId="3203B419">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密闭性：展示柜本身为整体密闭型结构，并采用专用密封型材和硅胶密封条，展示空间空气交换次数≤0.2次/天，并提供相关证明材料。展柜密封条常用材料为有机硅密封条（密封条不能是酸性）物质。表面要求光滑，无明显的机械杂质。需安装恒湿机的展柜预留恒湿机风口及湿度探测探头出口。</w:t>
      </w:r>
    </w:p>
    <w:p w14:paraId="44CB68ED">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展柜使用的所有材料是惰性的环保材料来降低潜在的污染风险，与陈列部分直接接触的板材，板材选择E0级，并且对其表面进行密封、防火及防有害气体处理，最小化有害气体对展品的破坏。纺织物必须是环保的100%纯棉纺织物并经过相关检测部门或实验室检测的，适合在博物馆使用的产品，展布采用无胶粘接的固定方式固定在板材上。</w:t>
      </w:r>
    </w:p>
    <w:p w14:paraId="70BAC7C6">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（9）展柜的外围材料均为非燃烧性材料，保证展柜的防火性能。</w:t>
      </w:r>
    </w:p>
    <w:p w14:paraId="620BD3BE">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4、照明要求</w:t>
      </w:r>
    </w:p>
    <w:p w14:paraId="22677E9C">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照明装置性能：光源采用显色指数Ra＞90、色温3000K、发热量低的LED光源，紫外线含量应符合博物馆照明设计规范GB/T23863-2024中的相关要求（＜20μw/lm。展柜内灯具按不同类型，单独控制、调光，展柜内照明可调范围在0－400Lux。</w:t>
      </w:r>
    </w:p>
    <w:p w14:paraId="6D8CE2C1">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5、安全性能</w:t>
      </w:r>
    </w:p>
    <w:p w14:paraId="6980C69F">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以下安全设备必须符合国家安全防范技术规范和标准，确保项目通过安全防范验收。</w:t>
      </w:r>
    </w:p>
    <w:p w14:paraId="0F3BECE8">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（1）临时制作独立展柜应具有相当的自重（大于200KG），稳固、安全、抗撞击，展示柜使用博物馆专用锁具。</w:t>
      </w:r>
    </w:p>
    <w:p w14:paraId="3DC9E5FA">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（2）展柜内使用的所有电气产品均应选用符合国家现行标准且通过3C认证的正规产品。</w:t>
      </w:r>
    </w:p>
    <w:p w14:paraId="41AF446C">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（3）展柜的机械装置应采用隐藏式。</w:t>
      </w:r>
    </w:p>
    <w:p w14:paraId="414BA43A">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（4）展柜应使用博物馆专用锁具，锁体及钥匙的材料均为超硬度的耐磨、防锈材料，临时性展柜钥匙互换率应达15万次以上，且钥匙的编号可根据要求分组管理。</w:t>
      </w:r>
    </w:p>
    <w:p w14:paraId="196E86D2">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（5）展柜每个柜子的展示门安装独立钥匙开启的锁具，所有展柜检修门锁具用同一把钥匙开启。</w:t>
      </w:r>
    </w:p>
    <w:p w14:paraId="330F45AA">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6、其他要求</w:t>
      </w:r>
    </w:p>
    <w:p w14:paraId="7221F269">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（1）文物展柜基本技术要求及检测应严格遵守《GBT 36111—2018标准》。</w:t>
      </w:r>
    </w:p>
    <w:p w14:paraId="5BBE6F0A">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（2）展柜制作前成交供应商应按照采购人要求提供完整的展柜图纸资料和制作样柜供采购人确认后方可制作。</w:t>
      </w:r>
    </w:p>
    <w:p w14:paraId="6F968EEE">
      <w:pPr>
        <w:spacing w:line="360" w:lineRule="auto"/>
        <w:jc w:val="left"/>
        <w:rPr>
          <w:rFonts w:ascii="仿宋_GB2312" w:hAnsi="仿宋_GB2312" w:eastAsia="仿宋_GB2312" w:cs="仿宋_GB2312"/>
          <w:sz w:val="24"/>
          <w:szCs w:val="24"/>
          <w:highlight w:val="none"/>
        </w:rPr>
      </w:pPr>
    </w:p>
    <w:p w14:paraId="4A294B51">
      <w:pPr>
        <w:spacing w:line="360" w:lineRule="auto"/>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四、供应商要求</w:t>
      </w:r>
    </w:p>
    <w:p w14:paraId="41A994E9">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（一）供应商结合本项目情况响应文件中提供相关方案，包括但不限于：</w:t>
      </w:r>
    </w:p>
    <w:p w14:paraId="3862BF59">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1、需求分析解决方案</w:t>
      </w:r>
    </w:p>
    <w:p w14:paraId="5C2361E6">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供应商应针对本项目实际情况结合过往经验分析并指出项目实施过程中潜在的困难点、风险点，并能够给出妥善的解决方案。</w:t>
      </w:r>
    </w:p>
    <w:p w14:paraId="0D0CA721">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2、设计图纸</w:t>
      </w:r>
    </w:p>
    <w:p w14:paraId="3357A616">
      <w:pPr>
        <w:spacing w:line="360" w:lineRule="auto"/>
        <w:ind w:firstLine="480" w:firstLineChars="200"/>
        <w:jc w:val="left"/>
        <w:rPr>
          <w:rFonts w:ascii="仿宋_GB2312" w:hAnsi="仿宋_GB2312" w:cs="仿宋_GB2312"/>
          <w:sz w:val="24"/>
          <w:highlight w:val="none"/>
        </w:rPr>
      </w:pPr>
      <w:r>
        <w:rPr>
          <w:rFonts w:hint="eastAsia" w:ascii="仿宋_GB2312" w:hAnsi="仿宋_GB2312" w:eastAsia="仿宋_GB2312" w:cs="仿宋_GB2312"/>
          <w:sz w:val="24"/>
          <w:highlight w:val="none"/>
        </w:rPr>
        <w:t>基于本项目提供的相关图纸，结合项目情况及采购人提供的资料，供应商在响应文件中提供设计平面图、参观流线图、轴测图；序厅、各单元、尾厅及重点场景设计效果图；展览标题、各单元部题及宣传广告平面设计图。供应商获取文件后，以电子邮件的方式提供本项目展厅平面图、展览大纲、文物清单。</w:t>
      </w:r>
    </w:p>
    <w:p w14:paraId="17BFC3C6">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3、展览方案</w:t>
      </w:r>
    </w:p>
    <w:p w14:paraId="0D60B59D">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包含展陈加工制作方案；多媒体及观众互动实施方案保证展览的生动性、创意性；重点展品展示设计；创新技术及多专业领域综合运用的合理性与恰当性；投入的设备、材料、施工主材及其他资源。</w:t>
      </w:r>
    </w:p>
    <w:p w14:paraId="230872DA">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4、质量保证方案</w:t>
      </w:r>
    </w:p>
    <w:p w14:paraId="2B696560">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供应商应制定合理完善的质量保证方案，按照国家有关要求及本项目实际情况，最大限度的保证本项目所购设备、及施工的质保期内外均可以连续、稳定运行、展览。</w:t>
      </w:r>
    </w:p>
    <w:p w14:paraId="275577EE">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5、安全应急方案</w:t>
      </w:r>
    </w:p>
    <w:p w14:paraId="2CFB66B5">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供应商能够针对各类紧急、突发情况提供解决预案，妥善处理各种应急情况。</w:t>
      </w:r>
    </w:p>
    <w:p w14:paraId="12C4BC30">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6、施工方案</w:t>
      </w:r>
    </w:p>
    <w:p w14:paraId="7DF453D1">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供应商根据展览要求提供符合要求的施工方案，保证项目的施工安全。</w:t>
      </w:r>
    </w:p>
    <w:p w14:paraId="4E4F914D">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7、进度保障组织方案</w:t>
      </w:r>
    </w:p>
    <w:p w14:paraId="4953B991">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供应商应制定合理可行的进度保障组织方案，通过优化组织程序，提高工作效率、加强进度控制保障等多种手段，确保项目能按期完成。</w:t>
      </w:r>
    </w:p>
    <w:p w14:paraId="5058D8B3">
      <w:pPr>
        <w:spacing w:line="360" w:lineRule="auto"/>
        <w:jc w:val="left"/>
        <w:rPr>
          <w:rFonts w:ascii="仿宋_GB2312" w:hAnsi="仿宋_GB2312" w:eastAsia="仿宋_GB2312" w:cs="仿宋_GB2312"/>
          <w:sz w:val="24"/>
          <w:highlight w:val="none"/>
        </w:rPr>
      </w:pPr>
    </w:p>
    <w:p w14:paraId="4A4C35DA">
      <w:pPr>
        <w:spacing w:line="360" w:lineRule="auto"/>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（二）项目团队要求</w:t>
      </w:r>
    </w:p>
    <w:p w14:paraId="7E6EC6B6">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供应商应结合项目需求，组建专门的服务团队，提供合理的人员组织方案，服务团队人员配备齐全，具备专业能力，能够提供本项目包括概念设计、深化设计、展览施工、布展、整改等全部流程工作。</w:t>
      </w:r>
      <w:r>
        <w:rPr>
          <w:rFonts w:hint="eastAsia" w:ascii="仿宋_GB2312" w:hAnsi="仿宋_GB2312" w:eastAsia="仿宋_GB2312" w:cs="仿宋_GB2312"/>
          <w:sz w:val="24"/>
          <w:szCs w:val="24"/>
          <w:highlight w:val="none"/>
        </w:rPr>
        <w:t>项目实施实施期间，供应商需委派项目经理、相关专业设计师及技术人员驻场工作</w:t>
      </w:r>
      <w:r>
        <w:rPr>
          <w:rFonts w:hint="eastAsia" w:ascii="仿宋_GB2312" w:hAnsi="仿宋_GB2312" w:eastAsia="仿宋_GB2312" w:cs="仿宋_GB2312"/>
          <w:sz w:val="24"/>
          <w:highlight w:val="none"/>
        </w:rPr>
        <w:t>。其中项目经理、总设计师需全程驻场，其他人员需根据采购人要求时间驻场。</w:t>
      </w:r>
    </w:p>
    <w:p w14:paraId="35EFD9E2">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服务团队基本要求为：</w:t>
      </w:r>
    </w:p>
    <w:p w14:paraId="19F02760">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1、项目经理要求</w:t>
      </w:r>
    </w:p>
    <w:p w14:paraId="0A1053DC">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（1）项目经理1名，负责总体接洽，要求如下：</w:t>
      </w:r>
    </w:p>
    <w:p w14:paraId="103FDE89">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★整个服务期间不得更换项目经理，且在本项目竣工验收之前该项目经理不得同时担任其它在建项目的项目经理。</w:t>
      </w:r>
    </w:p>
    <w:p w14:paraId="04927473">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审核依据：需在响应文件中提供相关承诺函并加盖供应商公章，格式自拟；承诺函内容应包含：我公司承诺，如成交，整个服务期间，本文件中列明的项目经理不更换，在本项目竣工验收之前该项目经理不同时担任其它在建项目的项目经理；如遇不可抗力等原因，我公司将以书面形式与采购人协商，经采购人同意后方可更换。</w:t>
      </w:r>
    </w:p>
    <w:p w14:paraId="5E93A4B1">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★（2）项目经理具备建筑工程贰级（含）以上注册建造师执业资格；具备有效的安全生产考核合格证书（B本）或省级住房和城乡建设主管部门发布的电子化安全生产考核合格证书。</w:t>
      </w:r>
    </w:p>
    <w:p w14:paraId="3486A945">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审核依据：需在响应文件中提供项目经理上述证书复印件并加盖供应商公章。</w:t>
      </w:r>
    </w:p>
    <w:p w14:paraId="2F6AFEBF">
      <w:pPr>
        <w:spacing w:line="360" w:lineRule="auto"/>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highlight w:val="none"/>
        </w:rPr>
        <w:t>2、1名总体设计师（具有工艺美术或文博系列高级职称），进行空间设计并与采购</w:t>
      </w:r>
      <w:r>
        <w:rPr>
          <w:rFonts w:hint="eastAsia" w:ascii="仿宋_GB2312" w:hAnsi="仿宋_GB2312" w:eastAsia="仿宋_GB2312" w:cs="仿宋_GB2312"/>
          <w:sz w:val="24"/>
          <w:szCs w:val="24"/>
          <w:highlight w:val="none"/>
        </w:rPr>
        <w:t>人展览主创接洽。</w:t>
      </w:r>
    </w:p>
    <w:p w14:paraId="5FDFC497">
      <w:pPr>
        <w:spacing w:line="360" w:lineRule="auto"/>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3、其他专业人员包括但不限于：</w:t>
      </w:r>
    </w:p>
    <w:p w14:paraId="1D78F082">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2名柜内设计师，进行文物</w:t>
      </w:r>
      <w:r>
        <w:rPr>
          <w:rFonts w:hint="eastAsia" w:ascii="仿宋_GB2312" w:hAnsi="仿宋_GB2312" w:eastAsia="仿宋_GB2312" w:cs="仿宋_GB2312"/>
          <w:sz w:val="24"/>
          <w:highlight w:val="none"/>
        </w:rPr>
        <w:t>点位和柜内展托展具的设计；</w:t>
      </w:r>
    </w:p>
    <w:p w14:paraId="1E80166D">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1名施工图设计师绘制施工图纸并与施工现场沟通；</w:t>
      </w:r>
    </w:p>
    <w:p w14:paraId="19A540A0">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1名3D设计师绘制效果图；</w:t>
      </w:r>
    </w:p>
    <w:p w14:paraId="431FB640">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3名平面设计师进行广告、开幕式背板、展板、说明牌等项目的设计，并配合方案汇报、线上宣传进行相关项目的设计；</w:t>
      </w:r>
    </w:p>
    <w:p w14:paraId="78EEC788">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1名多媒体设计师，进行多媒体项目的设计；</w:t>
      </w:r>
    </w:p>
    <w:p w14:paraId="4312A5BC">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1名新媒体设计师，对展览进行线上的宣传推介和观众互动项目的设计。</w:t>
      </w:r>
    </w:p>
    <w:p w14:paraId="1173A960">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供应商需根据项目进展情况及采购人工作需求，对参与项目的人员进行补充和调剂。供应商成交后应提供本次项目施工和设计团队人员详细名单。</w:t>
      </w:r>
    </w:p>
    <w:p w14:paraId="6DBBF301">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4、设计团队在服务期间根据采购人要求在采购人指定地点驻场办公，供应商需自备办公设备，采购人无法提供相关办公设备。</w:t>
      </w:r>
    </w:p>
    <w:p w14:paraId="3C933290">
      <w:pPr>
        <w:spacing w:line="360" w:lineRule="auto"/>
        <w:ind w:firstLine="480" w:firstLineChars="200"/>
        <w:jc w:val="left"/>
        <w:rPr>
          <w:rFonts w:ascii="仿宋_GB2312" w:hAnsi="仿宋_GB2312" w:eastAsia="仿宋_GB2312" w:cs="仿宋_GB2312"/>
          <w:sz w:val="24"/>
          <w:highlight w:val="none"/>
        </w:rPr>
      </w:pPr>
    </w:p>
    <w:p w14:paraId="6030E179">
      <w:pPr>
        <w:spacing w:line="360" w:lineRule="auto"/>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五、提交设计图纸的要求</w:t>
      </w:r>
    </w:p>
    <w:p w14:paraId="45D71277">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1、整体要求</w:t>
      </w:r>
    </w:p>
    <w:p w14:paraId="1075D3E8">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（1）形式设计必须基于展览大纲，准确表达大纲主题、全面地反映大纲内容，并进行延展与深入。</w:t>
      </w:r>
    </w:p>
    <w:p w14:paraId="7AAC09D9">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（2）形式设计和施工制作必须基于首都博物馆展厅及现有设备设施，必须完全符合文物保护的相关要求。</w:t>
      </w:r>
    </w:p>
    <w:p w14:paraId="306738A6">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（4）形式设计必须对后续的制作工程有系统的指导作用，并应深入考虑其具体施工阶段的相关施工工艺及安装措施。</w:t>
      </w:r>
    </w:p>
    <w:p w14:paraId="548FFC22">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（5）展览海报的设计应与展厅设计风格一致。</w:t>
      </w:r>
    </w:p>
    <w:p w14:paraId="2C0C62DC">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（6）供应商对后续施工阶段内容应进行重难点识别与分析，给出对应的应对措施及解决方案。</w:t>
      </w:r>
    </w:p>
    <w:p w14:paraId="47A0B722">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2、提交设计文件的内容要求</w:t>
      </w:r>
    </w:p>
    <w:p w14:paraId="79EA3FAB">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（1）深化平面图、流线图、空间轴测图。</w:t>
      </w:r>
    </w:p>
    <w:p w14:paraId="68967804">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（2）各重点空间效果图（不少于</w:t>
      </w:r>
      <w:r>
        <w:rPr>
          <w:rFonts w:ascii="仿宋_GB2312" w:hAnsi="仿宋_GB2312" w:eastAsia="仿宋_GB2312" w:cs="仿宋_GB2312"/>
          <w:sz w:val="24"/>
          <w:highlight w:val="none"/>
        </w:rPr>
        <w:t>12</w:t>
      </w:r>
      <w:r>
        <w:rPr>
          <w:rFonts w:hint="eastAsia" w:ascii="仿宋_GB2312" w:hAnsi="仿宋_GB2312" w:eastAsia="仿宋_GB2312" w:cs="仿宋_GB2312"/>
          <w:sz w:val="24"/>
          <w:highlight w:val="none"/>
        </w:rPr>
        <w:t>张），应包含序厅展标墙和重点场景的效果图（呈现效果需与实际场景比例尺寸匹配）。</w:t>
      </w:r>
    </w:p>
    <w:p w14:paraId="5594A29F">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（3）立面设计图（各单元重点部位，每单元均应有设计，需标注明确相关部位的材料材质及安装工艺）。</w:t>
      </w:r>
    </w:p>
    <w:p w14:paraId="07739FB1">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（4）展标、前言、结语、部题、说明牌等文字版式以及各重点部位立面设计的图文版式设计图。</w:t>
      </w:r>
    </w:p>
    <w:p w14:paraId="19C0DA5F">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（5）新增特制展台、展柜、展托的结构设计图及相关构配件材质说明。</w:t>
      </w:r>
    </w:p>
    <w:p w14:paraId="0BC74700">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（6）多媒体展项的设计展示图及实现方式说明。</w:t>
      </w:r>
    </w:p>
    <w:p w14:paraId="1395D9B5">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（7）重点场景设计构想图及制作说明。</w:t>
      </w:r>
    </w:p>
    <w:p w14:paraId="4991A1A8">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（8）重要展品系统展示图、安装构想图及制作说明。</w:t>
      </w:r>
    </w:p>
    <w:p w14:paraId="302A6386">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（9）展览海报的平面设计图。</w:t>
      </w:r>
    </w:p>
    <w:p w14:paraId="7E20942C">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3、提交设计文件的数量要求</w:t>
      </w:r>
    </w:p>
    <w:p w14:paraId="1F70FAD3">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（1）A3图纸册8套。</w:t>
      </w:r>
    </w:p>
    <w:p w14:paraId="36746716">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（2）设计文档电子光盘1套。</w:t>
      </w:r>
    </w:p>
    <w:p w14:paraId="476DB8C9">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注：供应商应于本合同签订生效后10个工作日内，按照采购人提供的项目说明等相关素材调整并深入设计并完成设计图。方案设计通过后，出实施图并编制本项目的实施组织方案等实施相关文件资料。经采购人审批签字后方可进入现场实施阶段，供应商应严格按图纸实施，不得私自改变相关实施内容，确保现场制作与实施图的一致性。</w:t>
      </w:r>
    </w:p>
    <w:p w14:paraId="0686D8D5">
      <w:pPr>
        <w:spacing w:line="360" w:lineRule="auto"/>
        <w:jc w:val="left"/>
        <w:rPr>
          <w:rFonts w:ascii="仿宋_GB2312" w:hAnsi="仿宋_GB2312" w:eastAsia="仿宋_GB2312" w:cs="仿宋_GB2312"/>
          <w:sz w:val="24"/>
          <w:highlight w:val="none"/>
        </w:rPr>
      </w:pPr>
    </w:p>
    <w:p w14:paraId="7E0D78E6">
      <w:pPr>
        <w:spacing w:line="360" w:lineRule="auto"/>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六、知识产权要求</w:t>
      </w:r>
    </w:p>
    <w:p w14:paraId="726044CE">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ascii="仿宋_GB2312" w:hAnsi="仿宋_GB2312" w:eastAsia="仿宋_GB2312" w:cs="仿宋_GB2312"/>
          <w:sz w:val="24"/>
          <w:highlight w:val="none"/>
        </w:rPr>
        <w:t>采购人对本项目提供的相关资料，不限于图纸、大纲、文物照片等，具有合法的知识产权及所有权。</w:t>
      </w:r>
    </w:p>
    <w:p w14:paraId="61228D05">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2、供应商</w:t>
      </w:r>
      <w:r>
        <w:rPr>
          <w:rFonts w:ascii="仿宋_GB2312" w:hAnsi="仿宋_GB2312" w:eastAsia="仿宋_GB2312" w:cs="仿宋_GB2312"/>
          <w:sz w:val="24"/>
          <w:highlight w:val="none"/>
        </w:rPr>
        <w:t>提供的与该项目有关的所有文件资料（包括但不限于图纸、图片等）均为其实际创作或拥有合法的知识产权</w:t>
      </w:r>
      <w:r>
        <w:rPr>
          <w:rFonts w:hint="eastAsia" w:ascii="仿宋_GB2312" w:hAnsi="仿宋_GB2312" w:eastAsia="仿宋_GB2312" w:cs="仿宋_GB2312"/>
          <w:sz w:val="24"/>
          <w:highlight w:val="none"/>
        </w:rPr>
        <w:t>及使用权利</w:t>
      </w:r>
      <w:r>
        <w:rPr>
          <w:rFonts w:ascii="仿宋_GB2312" w:hAnsi="仿宋_GB2312" w:eastAsia="仿宋_GB2312" w:cs="仿宋_GB2312"/>
          <w:sz w:val="24"/>
          <w:highlight w:val="none"/>
        </w:rPr>
        <w:t>。</w:t>
      </w:r>
    </w:p>
    <w:p w14:paraId="166E5927">
      <w:pPr>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3、成交供应商</w:t>
      </w:r>
      <w:r>
        <w:rPr>
          <w:rFonts w:ascii="仿宋_GB2312" w:hAnsi="仿宋_GB2312" w:eastAsia="仿宋_GB2312" w:cs="仿宋_GB2312"/>
          <w:sz w:val="24"/>
          <w:highlight w:val="none"/>
        </w:rPr>
        <w:t>在与采购人签订成交合同后，其所有与项目有关的文件资料的所有权及知识产权自动转移至采购人合法拥有。</w:t>
      </w:r>
    </w:p>
    <w:p w14:paraId="5AF3137C">
      <w:pPr>
        <w:spacing w:line="360" w:lineRule="auto"/>
        <w:jc w:val="left"/>
        <w:rPr>
          <w:rFonts w:ascii="仿宋_GB2312" w:hAnsi="仿宋_GB2312" w:eastAsia="仿宋_GB2312" w:cs="仿宋_GB2312"/>
          <w:sz w:val="24"/>
          <w:highlight w:val="none"/>
        </w:rPr>
      </w:pPr>
    </w:p>
    <w:p w14:paraId="7C42B2FF">
      <w:pPr>
        <w:spacing w:line="360" w:lineRule="auto"/>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七、</w:t>
      </w:r>
      <w:r>
        <w:rPr>
          <w:rFonts w:ascii="仿宋_GB2312" w:hAnsi="仿宋_GB2312" w:eastAsia="仿宋_GB2312" w:cs="仿宋_GB2312"/>
          <w:b/>
          <w:bCs/>
          <w:sz w:val="24"/>
          <w:highlight w:val="none"/>
        </w:rPr>
        <w:t>保密要求</w:t>
      </w:r>
    </w:p>
    <w:p w14:paraId="79BAEDA5">
      <w:pPr>
        <w:spacing w:line="360" w:lineRule="auto"/>
        <w:ind w:firstLine="480" w:firstLineChars="200"/>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本项目采购人提供的相关资料</w:t>
      </w:r>
      <w:r>
        <w:rPr>
          <w:rFonts w:hint="eastAsia" w:ascii="仿宋_GB2312" w:hAnsi="仿宋_GB2312" w:eastAsia="仿宋_GB2312" w:cs="仿宋_GB2312"/>
          <w:sz w:val="24"/>
          <w:highlight w:val="none"/>
        </w:rPr>
        <w:t>及所有信息资源</w:t>
      </w:r>
      <w:r>
        <w:rPr>
          <w:rFonts w:ascii="仿宋_GB2312" w:hAnsi="仿宋_GB2312" w:eastAsia="仿宋_GB2312" w:cs="仿宋_GB2312"/>
          <w:sz w:val="24"/>
          <w:highlight w:val="none"/>
        </w:rPr>
        <w:t>，不限于图纸、大纲、文物照片等，均为保密信息，</w:t>
      </w:r>
      <w:r>
        <w:rPr>
          <w:rFonts w:hint="eastAsia" w:ascii="仿宋_GB2312" w:hAnsi="仿宋_GB2312" w:eastAsia="仿宋_GB2312" w:cs="仿宋_GB2312"/>
          <w:sz w:val="24"/>
          <w:highlight w:val="none"/>
        </w:rPr>
        <w:t>供应商具有保密义务，</w:t>
      </w:r>
      <w:r>
        <w:rPr>
          <w:rFonts w:ascii="仿宋_GB2312" w:hAnsi="仿宋_GB2312" w:eastAsia="仿宋_GB2312" w:cs="仿宋_GB2312"/>
          <w:sz w:val="24"/>
          <w:highlight w:val="none"/>
        </w:rPr>
        <w:t>不得溢出和扩散，如</w:t>
      </w:r>
      <w:r>
        <w:rPr>
          <w:rFonts w:hint="eastAsia" w:ascii="仿宋_GB2312" w:hAnsi="仿宋_GB2312" w:eastAsia="仿宋_GB2312" w:cs="仿宋_GB2312"/>
          <w:sz w:val="24"/>
          <w:highlight w:val="none"/>
        </w:rPr>
        <w:t>未经采购人书面同意，由供应商溢出或扩散以上保密信息</w:t>
      </w:r>
      <w:r>
        <w:rPr>
          <w:rFonts w:ascii="仿宋_GB2312" w:hAnsi="仿宋_GB2312" w:eastAsia="仿宋_GB2312" w:cs="仿宋_GB2312"/>
          <w:sz w:val="24"/>
          <w:highlight w:val="none"/>
        </w:rPr>
        <w:t>，</w:t>
      </w:r>
      <w:r>
        <w:rPr>
          <w:rFonts w:hint="eastAsia" w:ascii="仿宋_GB2312" w:hAnsi="仿宋_GB2312" w:eastAsia="仿宋_GB2312" w:cs="仿宋_GB2312"/>
          <w:sz w:val="24"/>
          <w:highlight w:val="none"/>
        </w:rPr>
        <w:t>采购人有权</w:t>
      </w:r>
      <w:r>
        <w:rPr>
          <w:rFonts w:ascii="仿宋_GB2312" w:hAnsi="仿宋_GB2312" w:eastAsia="仿宋_GB2312" w:cs="仿宋_GB2312"/>
          <w:sz w:val="24"/>
          <w:highlight w:val="none"/>
        </w:rPr>
        <w:t>追究</w:t>
      </w:r>
      <w:r>
        <w:rPr>
          <w:rFonts w:hint="eastAsia" w:ascii="仿宋_GB2312" w:hAnsi="仿宋_GB2312" w:eastAsia="仿宋_GB2312" w:cs="仿宋_GB2312"/>
          <w:sz w:val="24"/>
          <w:highlight w:val="none"/>
        </w:rPr>
        <w:t>供应商的法律</w:t>
      </w:r>
      <w:r>
        <w:rPr>
          <w:rFonts w:ascii="仿宋_GB2312" w:hAnsi="仿宋_GB2312" w:eastAsia="仿宋_GB2312" w:cs="仿宋_GB2312"/>
          <w:sz w:val="24"/>
          <w:highlight w:val="none"/>
        </w:rPr>
        <w:t>责任。</w:t>
      </w:r>
    </w:p>
    <w:p w14:paraId="42ABE967">
      <w:pPr>
        <w:rPr>
          <w:highlight w:val="none"/>
        </w:rPr>
      </w:pPr>
    </w:p>
    <w:p w14:paraId="09F5D518">
      <w:pPr>
        <w:spacing w:line="360" w:lineRule="auto"/>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八、其他要求</w:t>
      </w:r>
    </w:p>
    <w:p w14:paraId="0DCEE7A1">
      <w:pPr>
        <w:spacing w:line="360" w:lineRule="auto"/>
        <w:ind w:firstLine="480" w:firstLineChars="200"/>
        <w:jc w:val="left"/>
        <w:rPr>
          <w:highlight w:val="none"/>
        </w:rPr>
      </w:pPr>
      <w:r>
        <w:rPr>
          <w:rFonts w:ascii="仿宋_GB2312" w:hAnsi="仿宋_GB2312" w:eastAsia="仿宋_GB2312" w:cs="仿宋_GB2312"/>
          <w:sz w:val="24"/>
          <w:highlight w:val="none"/>
        </w:rPr>
        <w:t>供应商近三年（合同签订日期自2022年4月1日至今）具备</w:t>
      </w:r>
      <w:r>
        <w:rPr>
          <w:rFonts w:hint="eastAsia" w:ascii="仿宋_GB2312" w:hAnsi="仿宋_GB2312" w:eastAsia="仿宋_GB2312" w:cs="仿宋_GB2312"/>
          <w:sz w:val="24"/>
          <w:highlight w:val="none"/>
        </w:rPr>
        <w:t>文物</w:t>
      </w:r>
      <w:r>
        <w:rPr>
          <w:rFonts w:ascii="仿宋_GB2312" w:hAnsi="仿宋_GB2312" w:eastAsia="仿宋_GB2312" w:cs="仿宋_GB2312"/>
          <w:sz w:val="24"/>
          <w:highlight w:val="none"/>
        </w:rPr>
        <w:t>布展的类似项目经验，可在响应文件中提供证明材料。</w:t>
      </w:r>
    </w:p>
    <w:p w14:paraId="08548AF9">
      <w:pPr>
        <w:rPr>
          <w:highlight w:val="none"/>
        </w:rPr>
        <w:sectPr>
          <w:headerReference r:id="rId3" w:type="default"/>
          <w:footerReference r:id="rId4" w:type="default"/>
          <w:pgSz w:w="11906" w:h="16838"/>
          <w:pgMar w:top="1247" w:right="1587" w:bottom="1247" w:left="1587" w:header="850" w:footer="850" w:gutter="0"/>
          <w:cols w:space="720" w:num="1"/>
          <w:docGrid w:linePitch="462" w:charSpace="0"/>
        </w:sectPr>
      </w:pPr>
    </w:p>
    <w:bookmarkEnd w:id="8"/>
    <w:bookmarkEnd w:id="9"/>
    <w:bookmarkEnd w:id="10"/>
    <w:bookmarkEnd w:id="11"/>
    <w:bookmarkEnd w:id="12"/>
    <w:bookmarkEnd w:id="13"/>
    <w:bookmarkEnd w:id="14"/>
    <w:bookmarkEnd w:id="15"/>
    <w:p w14:paraId="5A5EB257">
      <w:pPr>
        <w:rPr>
          <w:rFonts w:ascii="仿宋_GB2312" w:hAnsi="仿宋_GB2312" w:eastAsia="仿宋_GB2312" w:cs="仿宋_GB2312"/>
          <w:sz w:val="24"/>
          <w:highlight w:val="none"/>
        </w:rPr>
      </w:pPr>
    </w:p>
    <w:sectPr>
      <w:pgSz w:w="11906" w:h="16838"/>
      <w:pgMar w:top="1247" w:right="1587" w:bottom="1247" w:left="1587" w:header="850" w:footer="85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C3201">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A29E0">
                          <w:pPr>
                            <w:pStyle w:val="26"/>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F3A29E0">
                    <w:pPr>
                      <w:pStyle w:val="26"/>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p>
  <w:p w14:paraId="50FC5E50">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93B30">
    <w:pPr>
      <w:pStyle w:val="27"/>
      <w:pBdr>
        <w:bottom w:val="none" w:color="auto" w:sz="0" w:space="0"/>
      </w:pBdr>
      <w:jc w:val="both"/>
      <w:rPr>
        <w:u w:val="single"/>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pStyle w:val="144"/>
      <w:lvlText w:val="(%1)"/>
      <w:lvlJc w:val="left"/>
      <w:pPr>
        <w:tabs>
          <w:tab w:val="left" w:pos="502"/>
        </w:tabs>
        <w:ind w:left="502" w:hanging="360"/>
      </w:pPr>
      <w:rPr>
        <w:rFonts w:hint="default"/>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1">
    <w:nsid w:val="03B44903"/>
    <w:multiLevelType w:val="singleLevel"/>
    <w:tmpl w:val="03B44903"/>
    <w:lvl w:ilvl="0" w:tentative="0">
      <w:start w:val="1"/>
      <w:numFmt w:val="decimal"/>
      <w:pStyle w:val="122"/>
      <w:lvlText w:val="%1."/>
      <w:lvlJc w:val="left"/>
      <w:pPr>
        <w:tabs>
          <w:tab w:val="left" w:pos="425"/>
        </w:tabs>
        <w:ind w:left="425" w:hanging="425"/>
      </w:pPr>
    </w:lvl>
  </w:abstractNum>
  <w:abstractNum w:abstractNumId="2">
    <w:nsid w:val="18EF4730"/>
    <w:multiLevelType w:val="multilevel"/>
    <w:tmpl w:val="18EF4730"/>
    <w:lvl w:ilvl="0" w:tentative="0">
      <w:start w:val="2004"/>
      <w:numFmt w:val="bullet"/>
      <w:pStyle w:val="64"/>
      <w:lvlText w:val=""/>
      <w:lvlJc w:val="left"/>
      <w:pPr>
        <w:tabs>
          <w:tab w:val="left" w:pos="880"/>
        </w:tabs>
        <w:ind w:left="880" w:hanging="360"/>
      </w:pPr>
      <w:rPr>
        <w:rFonts w:hint="default" w:ascii="Wingdings" w:hAnsi="Wingdings"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657086D"/>
    <w:multiLevelType w:val="multilevel"/>
    <w:tmpl w:val="2657086D"/>
    <w:lvl w:ilvl="0" w:tentative="0">
      <w:start w:val="1"/>
      <w:numFmt w:val="chineseCountingThousand"/>
      <w:pStyle w:val="41"/>
      <w:lvlText w:val="%1."/>
      <w:lvlJc w:val="left"/>
      <w:pPr>
        <w:tabs>
          <w:tab w:val="left" w:pos="360"/>
        </w:tabs>
        <w:ind w:left="0" w:firstLine="0"/>
      </w:pPr>
      <w:rPr>
        <w:rFonts w:hint="eastAsia"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3"/>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95"/>
        </w:tabs>
        <w:ind w:left="1695" w:hanging="435"/>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MDM3OTBlMDM3OWJhMjUxZDUyNWI3ODJiMjMzZmYifQ=="/>
  </w:docVars>
  <w:rsids>
    <w:rsidRoot w:val="00172A27"/>
    <w:rsid w:val="00003478"/>
    <w:rsid w:val="000911CD"/>
    <w:rsid w:val="000B54A5"/>
    <w:rsid w:val="000D1A0E"/>
    <w:rsid w:val="000E0336"/>
    <w:rsid w:val="0010154D"/>
    <w:rsid w:val="0010418D"/>
    <w:rsid w:val="001062B2"/>
    <w:rsid w:val="00106F4C"/>
    <w:rsid w:val="00161901"/>
    <w:rsid w:val="00165B34"/>
    <w:rsid w:val="0017083B"/>
    <w:rsid w:val="00172A27"/>
    <w:rsid w:val="00180D0B"/>
    <w:rsid w:val="00196B1D"/>
    <w:rsid w:val="001A4EA7"/>
    <w:rsid w:val="001C1F28"/>
    <w:rsid w:val="001C7A28"/>
    <w:rsid w:val="001D0543"/>
    <w:rsid w:val="001F19F4"/>
    <w:rsid w:val="001F381C"/>
    <w:rsid w:val="001F64F9"/>
    <w:rsid w:val="00200AE4"/>
    <w:rsid w:val="0020384E"/>
    <w:rsid w:val="00205860"/>
    <w:rsid w:val="00205FB6"/>
    <w:rsid w:val="00217FB1"/>
    <w:rsid w:val="00232D27"/>
    <w:rsid w:val="002330CF"/>
    <w:rsid w:val="002379D6"/>
    <w:rsid w:val="002408FF"/>
    <w:rsid w:val="00251770"/>
    <w:rsid w:val="00270CFB"/>
    <w:rsid w:val="00281F0D"/>
    <w:rsid w:val="00295176"/>
    <w:rsid w:val="002B2998"/>
    <w:rsid w:val="002B4838"/>
    <w:rsid w:val="002C752B"/>
    <w:rsid w:val="002C7B24"/>
    <w:rsid w:val="002D1772"/>
    <w:rsid w:val="002E22CF"/>
    <w:rsid w:val="00320670"/>
    <w:rsid w:val="0033008E"/>
    <w:rsid w:val="003342DE"/>
    <w:rsid w:val="0034566F"/>
    <w:rsid w:val="00350795"/>
    <w:rsid w:val="00360FB3"/>
    <w:rsid w:val="003C028D"/>
    <w:rsid w:val="003C351D"/>
    <w:rsid w:val="003C6295"/>
    <w:rsid w:val="003C680C"/>
    <w:rsid w:val="003D32AD"/>
    <w:rsid w:val="003D5844"/>
    <w:rsid w:val="003E046D"/>
    <w:rsid w:val="003F0683"/>
    <w:rsid w:val="003F372D"/>
    <w:rsid w:val="004252E6"/>
    <w:rsid w:val="0043076B"/>
    <w:rsid w:val="00447A41"/>
    <w:rsid w:val="00477502"/>
    <w:rsid w:val="004815B4"/>
    <w:rsid w:val="00486132"/>
    <w:rsid w:val="0048617F"/>
    <w:rsid w:val="00494684"/>
    <w:rsid w:val="004B0B1C"/>
    <w:rsid w:val="004B4EBD"/>
    <w:rsid w:val="004D0926"/>
    <w:rsid w:val="004D6C20"/>
    <w:rsid w:val="004E039A"/>
    <w:rsid w:val="004E59F5"/>
    <w:rsid w:val="00507308"/>
    <w:rsid w:val="005074D9"/>
    <w:rsid w:val="00514CD6"/>
    <w:rsid w:val="00536F33"/>
    <w:rsid w:val="00570B99"/>
    <w:rsid w:val="00584238"/>
    <w:rsid w:val="00584653"/>
    <w:rsid w:val="00590A2E"/>
    <w:rsid w:val="00595BE8"/>
    <w:rsid w:val="005A11C4"/>
    <w:rsid w:val="005C262D"/>
    <w:rsid w:val="005D0DA9"/>
    <w:rsid w:val="00616576"/>
    <w:rsid w:val="00617F8C"/>
    <w:rsid w:val="00626005"/>
    <w:rsid w:val="006412B6"/>
    <w:rsid w:val="006425A4"/>
    <w:rsid w:val="0064455E"/>
    <w:rsid w:val="00655160"/>
    <w:rsid w:val="006A0182"/>
    <w:rsid w:val="006A2F52"/>
    <w:rsid w:val="006C0FB7"/>
    <w:rsid w:val="006E0168"/>
    <w:rsid w:val="007029AC"/>
    <w:rsid w:val="0070708C"/>
    <w:rsid w:val="007312D3"/>
    <w:rsid w:val="007312DF"/>
    <w:rsid w:val="00731D7D"/>
    <w:rsid w:val="00742E23"/>
    <w:rsid w:val="007457A9"/>
    <w:rsid w:val="007470F1"/>
    <w:rsid w:val="007C5BBA"/>
    <w:rsid w:val="007C5F67"/>
    <w:rsid w:val="007D5A12"/>
    <w:rsid w:val="007D7787"/>
    <w:rsid w:val="007E4A25"/>
    <w:rsid w:val="007F7C62"/>
    <w:rsid w:val="00803623"/>
    <w:rsid w:val="00820675"/>
    <w:rsid w:val="00824A41"/>
    <w:rsid w:val="008450C1"/>
    <w:rsid w:val="008607E1"/>
    <w:rsid w:val="00864DFB"/>
    <w:rsid w:val="0088485F"/>
    <w:rsid w:val="00896235"/>
    <w:rsid w:val="008C17B2"/>
    <w:rsid w:val="008E3E3F"/>
    <w:rsid w:val="008F3D6F"/>
    <w:rsid w:val="009310FD"/>
    <w:rsid w:val="00944C1A"/>
    <w:rsid w:val="00944DAB"/>
    <w:rsid w:val="00946CD1"/>
    <w:rsid w:val="009479D9"/>
    <w:rsid w:val="009737E2"/>
    <w:rsid w:val="0098167E"/>
    <w:rsid w:val="009875CA"/>
    <w:rsid w:val="00995122"/>
    <w:rsid w:val="009979FB"/>
    <w:rsid w:val="009C143E"/>
    <w:rsid w:val="009D6DEF"/>
    <w:rsid w:val="009E5EFB"/>
    <w:rsid w:val="009F2510"/>
    <w:rsid w:val="009F2A4D"/>
    <w:rsid w:val="00A23F6B"/>
    <w:rsid w:val="00A4687E"/>
    <w:rsid w:val="00A56637"/>
    <w:rsid w:val="00A76984"/>
    <w:rsid w:val="00A935E3"/>
    <w:rsid w:val="00AA05E1"/>
    <w:rsid w:val="00AA23EE"/>
    <w:rsid w:val="00AB2A71"/>
    <w:rsid w:val="00AC7241"/>
    <w:rsid w:val="00AE53C0"/>
    <w:rsid w:val="00AF24DD"/>
    <w:rsid w:val="00B03BE7"/>
    <w:rsid w:val="00B0702B"/>
    <w:rsid w:val="00B243E2"/>
    <w:rsid w:val="00B26BB1"/>
    <w:rsid w:val="00B320B7"/>
    <w:rsid w:val="00B42EF4"/>
    <w:rsid w:val="00B46F4F"/>
    <w:rsid w:val="00B5032E"/>
    <w:rsid w:val="00B657A4"/>
    <w:rsid w:val="00B7387B"/>
    <w:rsid w:val="00B9670F"/>
    <w:rsid w:val="00BA0D32"/>
    <w:rsid w:val="00BC5E6F"/>
    <w:rsid w:val="00BF0F31"/>
    <w:rsid w:val="00C0700B"/>
    <w:rsid w:val="00C12860"/>
    <w:rsid w:val="00C270B2"/>
    <w:rsid w:val="00C40651"/>
    <w:rsid w:val="00C91E65"/>
    <w:rsid w:val="00CA0FD6"/>
    <w:rsid w:val="00CA4258"/>
    <w:rsid w:val="00CC6DFF"/>
    <w:rsid w:val="00CF083E"/>
    <w:rsid w:val="00D12553"/>
    <w:rsid w:val="00D1270B"/>
    <w:rsid w:val="00D12D9E"/>
    <w:rsid w:val="00D40ECC"/>
    <w:rsid w:val="00D47630"/>
    <w:rsid w:val="00D5292D"/>
    <w:rsid w:val="00D724A9"/>
    <w:rsid w:val="00D914DF"/>
    <w:rsid w:val="00DA06DC"/>
    <w:rsid w:val="00DA343E"/>
    <w:rsid w:val="00DD1AE8"/>
    <w:rsid w:val="00DD3FA8"/>
    <w:rsid w:val="00DE5886"/>
    <w:rsid w:val="00DF01F6"/>
    <w:rsid w:val="00DF669F"/>
    <w:rsid w:val="00DF79E5"/>
    <w:rsid w:val="00E03F2D"/>
    <w:rsid w:val="00E041FD"/>
    <w:rsid w:val="00E21DFE"/>
    <w:rsid w:val="00E27D1E"/>
    <w:rsid w:val="00E32A01"/>
    <w:rsid w:val="00E350CE"/>
    <w:rsid w:val="00E41B6E"/>
    <w:rsid w:val="00E61BE3"/>
    <w:rsid w:val="00E73B88"/>
    <w:rsid w:val="00E8507D"/>
    <w:rsid w:val="00E92236"/>
    <w:rsid w:val="00EA760C"/>
    <w:rsid w:val="00EB1017"/>
    <w:rsid w:val="00EB6DD8"/>
    <w:rsid w:val="00EB70FC"/>
    <w:rsid w:val="00EC143A"/>
    <w:rsid w:val="00ED361D"/>
    <w:rsid w:val="00EE5762"/>
    <w:rsid w:val="00EF70E9"/>
    <w:rsid w:val="00F048C9"/>
    <w:rsid w:val="00F20BBD"/>
    <w:rsid w:val="00F25D29"/>
    <w:rsid w:val="00F40156"/>
    <w:rsid w:val="00F54EC6"/>
    <w:rsid w:val="00F747AB"/>
    <w:rsid w:val="00F747D1"/>
    <w:rsid w:val="00FA73CF"/>
    <w:rsid w:val="00FD3F85"/>
    <w:rsid w:val="00FF0881"/>
    <w:rsid w:val="0133519F"/>
    <w:rsid w:val="01E96C2E"/>
    <w:rsid w:val="0252697B"/>
    <w:rsid w:val="02C43119"/>
    <w:rsid w:val="02EB37ED"/>
    <w:rsid w:val="032E5B18"/>
    <w:rsid w:val="03521D06"/>
    <w:rsid w:val="03744B40"/>
    <w:rsid w:val="038469CC"/>
    <w:rsid w:val="04246559"/>
    <w:rsid w:val="04492F15"/>
    <w:rsid w:val="04C8726E"/>
    <w:rsid w:val="04E01320"/>
    <w:rsid w:val="051852FC"/>
    <w:rsid w:val="055B7792"/>
    <w:rsid w:val="05B55818"/>
    <w:rsid w:val="06004FCC"/>
    <w:rsid w:val="0649045C"/>
    <w:rsid w:val="06864766"/>
    <w:rsid w:val="06A168EC"/>
    <w:rsid w:val="06FA3A19"/>
    <w:rsid w:val="07102A3C"/>
    <w:rsid w:val="07C74E19"/>
    <w:rsid w:val="07EE658E"/>
    <w:rsid w:val="07F3748A"/>
    <w:rsid w:val="089808CE"/>
    <w:rsid w:val="089937A0"/>
    <w:rsid w:val="091266F1"/>
    <w:rsid w:val="09B74E58"/>
    <w:rsid w:val="09FC086D"/>
    <w:rsid w:val="0A1E3055"/>
    <w:rsid w:val="0AD95317"/>
    <w:rsid w:val="0B03361E"/>
    <w:rsid w:val="0B09187C"/>
    <w:rsid w:val="0B0A0CAF"/>
    <w:rsid w:val="0B517029"/>
    <w:rsid w:val="0B887700"/>
    <w:rsid w:val="0B991F50"/>
    <w:rsid w:val="0BC56CE3"/>
    <w:rsid w:val="0C1B40EA"/>
    <w:rsid w:val="0C5F2699"/>
    <w:rsid w:val="0C945850"/>
    <w:rsid w:val="0C9D2606"/>
    <w:rsid w:val="0CDF6EEF"/>
    <w:rsid w:val="0D555318"/>
    <w:rsid w:val="0D744926"/>
    <w:rsid w:val="0DD00FED"/>
    <w:rsid w:val="0E1023A7"/>
    <w:rsid w:val="0E4C5684"/>
    <w:rsid w:val="0E6C6D83"/>
    <w:rsid w:val="0E922575"/>
    <w:rsid w:val="0EA53683"/>
    <w:rsid w:val="0EA76C97"/>
    <w:rsid w:val="0ECE7EB4"/>
    <w:rsid w:val="0EED1035"/>
    <w:rsid w:val="0F02625A"/>
    <w:rsid w:val="0F1D3579"/>
    <w:rsid w:val="0F1D5AC9"/>
    <w:rsid w:val="0F6925D8"/>
    <w:rsid w:val="0FEB39D9"/>
    <w:rsid w:val="102C0118"/>
    <w:rsid w:val="10BF3B64"/>
    <w:rsid w:val="10EF7E56"/>
    <w:rsid w:val="11146D91"/>
    <w:rsid w:val="1180092C"/>
    <w:rsid w:val="11AC3A8C"/>
    <w:rsid w:val="11CF5473"/>
    <w:rsid w:val="11E406EB"/>
    <w:rsid w:val="120F4E5E"/>
    <w:rsid w:val="1295376D"/>
    <w:rsid w:val="12A14707"/>
    <w:rsid w:val="12FD7F36"/>
    <w:rsid w:val="13A011AE"/>
    <w:rsid w:val="13A07E66"/>
    <w:rsid w:val="13E55FA7"/>
    <w:rsid w:val="143409EE"/>
    <w:rsid w:val="14464901"/>
    <w:rsid w:val="149154CD"/>
    <w:rsid w:val="14A02B65"/>
    <w:rsid w:val="15507D3C"/>
    <w:rsid w:val="15536E33"/>
    <w:rsid w:val="156766B2"/>
    <w:rsid w:val="164A731D"/>
    <w:rsid w:val="16633BBC"/>
    <w:rsid w:val="168B428F"/>
    <w:rsid w:val="16AE10F1"/>
    <w:rsid w:val="16FC3A57"/>
    <w:rsid w:val="174A1D76"/>
    <w:rsid w:val="176D19FF"/>
    <w:rsid w:val="179775F2"/>
    <w:rsid w:val="17F31424"/>
    <w:rsid w:val="17FD7FE9"/>
    <w:rsid w:val="18191B17"/>
    <w:rsid w:val="182B52BA"/>
    <w:rsid w:val="188D655F"/>
    <w:rsid w:val="18BF1416"/>
    <w:rsid w:val="18CC57EB"/>
    <w:rsid w:val="18F42D4D"/>
    <w:rsid w:val="190A6EA1"/>
    <w:rsid w:val="193A79F0"/>
    <w:rsid w:val="196C5C41"/>
    <w:rsid w:val="197874D5"/>
    <w:rsid w:val="1A053F7B"/>
    <w:rsid w:val="1A1B1635"/>
    <w:rsid w:val="1A2F7657"/>
    <w:rsid w:val="1A5E42D0"/>
    <w:rsid w:val="1ABB7CCD"/>
    <w:rsid w:val="1AEE52D3"/>
    <w:rsid w:val="1B0E6672"/>
    <w:rsid w:val="1B45757A"/>
    <w:rsid w:val="1B9F015F"/>
    <w:rsid w:val="1C27374C"/>
    <w:rsid w:val="1C517F83"/>
    <w:rsid w:val="1D214DD8"/>
    <w:rsid w:val="1D614C26"/>
    <w:rsid w:val="1E54298F"/>
    <w:rsid w:val="1E6B3AF5"/>
    <w:rsid w:val="1E84750B"/>
    <w:rsid w:val="1ED2479E"/>
    <w:rsid w:val="1F5F5687"/>
    <w:rsid w:val="1F680515"/>
    <w:rsid w:val="1FC112C6"/>
    <w:rsid w:val="2051065D"/>
    <w:rsid w:val="2096051C"/>
    <w:rsid w:val="216507D3"/>
    <w:rsid w:val="21F81989"/>
    <w:rsid w:val="21F92F33"/>
    <w:rsid w:val="22046BDF"/>
    <w:rsid w:val="222C6A9F"/>
    <w:rsid w:val="22565515"/>
    <w:rsid w:val="22755A1E"/>
    <w:rsid w:val="228F6690"/>
    <w:rsid w:val="22AF37F5"/>
    <w:rsid w:val="22D83C07"/>
    <w:rsid w:val="235467D7"/>
    <w:rsid w:val="23682514"/>
    <w:rsid w:val="2401349F"/>
    <w:rsid w:val="24F640B7"/>
    <w:rsid w:val="257265E7"/>
    <w:rsid w:val="25743484"/>
    <w:rsid w:val="25F954DB"/>
    <w:rsid w:val="26193812"/>
    <w:rsid w:val="26304DFC"/>
    <w:rsid w:val="266F2F1B"/>
    <w:rsid w:val="269D57AD"/>
    <w:rsid w:val="26C86E2D"/>
    <w:rsid w:val="26DE321A"/>
    <w:rsid w:val="270E5FCE"/>
    <w:rsid w:val="272207A9"/>
    <w:rsid w:val="27277595"/>
    <w:rsid w:val="27B91C39"/>
    <w:rsid w:val="27EE45A2"/>
    <w:rsid w:val="27F61A9E"/>
    <w:rsid w:val="28114E40"/>
    <w:rsid w:val="284A2313"/>
    <w:rsid w:val="2874236C"/>
    <w:rsid w:val="289F28C5"/>
    <w:rsid w:val="28C63D9A"/>
    <w:rsid w:val="28CC4FED"/>
    <w:rsid w:val="291E6775"/>
    <w:rsid w:val="2970130A"/>
    <w:rsid w:val="29F53A3D"/>
    <w:rsid w:val="2A6E122D"/>
    <w:rsid w:val="2AE95140"/>
    <w:rsid w:val="2B1B75D8"/>
    <w:rsid w:val="2B1C22F8"/>
    <w:rsid w:val="2B5454F9"/>
    <w:rsid w:val="2BB5553F"/>
    <w:rsid w:val="2BBC41F4"/>
    <w:rsid w:val="2BC924DB"/>
    <w:rsid w:val="2C13735F"/>
    <w:rsid w:val="2C1D4A63"/>
    <w:rsid w:val="2C2168F6"/>
    <w:rsid w:val="2CE80B95"/>
    <w:rsid w:val="2CEA09F6"/>
    <w:rsid w:val="2D4C6E88"/>
    <w:rsid w:val="2D50777B"/>
    <w:rsid w:val="2D5147E9"/>
    <w:rsid w:val="2DC61D56"/>
    <w:rsid w:val="2E245609"/>
    <w:rsid w:val="2E247FC2"/>
    <w:rsid w:val="2EC44488"/>
    <w:rsid w:val="2ED8336B"/>
    <w:rsid w:val="2F6544CE"/>
    <w:rsid w:val="2F9724A4"/>
    <w:rsid w:val="3085186C"/>
    <w:rsid w:val="30871DAD"/>
    <w:rsid w:val="30A722E1"/>
    <w:rsid w:val="30DA5FB3"/>
    <w:rsid w:val="30ED46AC"/>
    <w:rsid w:val="30FA0A66"/>
    <w:rsid w:val="31362044"/>
    <w:rsid w:val="313F4739"/>
    <w:rsid w:val="314D2A6F"/>
    <w:rsid w:val="31A124F9"/>
    <w:rsid w:val="31BC0B24"/>
    <w:rsid w:val="31D33B2A"/>
    <w:rsid w:val="33005939"/>
    <w:rsid w:val="331E35AF"/>
    <w:rsid w:val="333B009C"/>
    <w:rsid w:val="33471930"/>
    <w:rsid w:val="334B7980"/>
    <w:rsid w:val="33A928CE"/>
    <w:rsid w:val="33C137F8"/>
    <w:rsid w:val="33C4477D"/>
    <w:rsid w:val="34336FAF"/>
    <w:rsid w:val="34516008"/>
    <w:rsid w:val="34666505"/>
    <w:rsid w:val="34A02734"/>
    <w:rsid w:val="34DC77C8"/>
    <w:rsid w:val="34FD35C3"/>
    <w:rsid w:val="350B6C92"/>
    <w:rsid w:val="35366BDD"/>
    <w:rsid w:val="353A5F70"/>
    <w:rsid w:val="36367C0D"/>
    <w:rsid w:val="36777018"/>
    <w:rsid w:val="37041842"/>
    <w:rsid w:val="372A0AD7"/>
    <w:rsid w:val="379F0983"/>
    <w:rsid w:val="37A44758"/>
    <w:rsid w:val="37BB437D"/>
    <w:rsid w:val="3839223A"/>
    <w:rsid w:val="383E029A"/>
    <w:rsid w:val="386B4E07"/>
    <w:rsid w:val="387C327F"/>
    <w:rsid w:val="39A31C9F"/>
    <w:rsid w:val="39ED3ACF"/>
    <w:rsid w:val="3A1C460B"/>
    <w:rsid w:val="3A531BA9"/>
    <w:rsid w:val="3A684EE0"/>
    <w:rsid w:val="3A965A45"/>
    <w:rsid w:val="3ACC329D"/>
    <w:rsid w:val="3B1E59BD"/>
    <w:rsid w:val="3B6A56F7"/>
    <w:rsid w:val="3B6C748D"/>
    <w:rsid w:val="3BCD713C"/>
    <w:rsid w:val="3BF82E56"/>
    <w:rsid w:val="3C4F2D46"/>
    <w:rsid w:val="3C75753F"/>
    <w:rsid w:val="3CDF1734"/>
    <w:rsid w:val="3CEE3985"/>
    <w:rsid w:val="3D717DB4"/>
    <w:rsid w:val="3DB30974"/>
    <w:rsid w:val="3DEF0FAA"/>
    <w:rsid w:val="3E3B14AB"/>
    <w:rsid w:val="3E3B7489"/>
    <w:rsid w:val="3E3D6B2B"/>
    <w:rsid w:val="3E453F37"/>
    <w:rsid w:val="3E6853F0"/>
    <w:rsid w:val="3E863754"/>
    <w:rsid w:val="3EBE037D"/>
    <w:rsid w:val="3EBE0387"/>
    <w:rsid w:val="3EC76A8F"/>
    <w:rsid w:val="3F4725AC"/>
    <w:rsid w:val="403149DC"/>
    <w:rsid w:val="40667434"/>
    <w:rsid w:val="40961781"/>
    <w:rsid w:val="40D574B6"/>
    <w:rsid w:val="40DB6132"/>
    <w:rsid w:val="40F54BA3"/>
    <w:rsid w:val="410E6949"/>
    <w:rsid w:val="412C1E75"/>
    <w:rsid w:val="41DC2F5D"/>
    <w:rsid w:val="42314073"/>
    <w:rsid w:val="42CC53F2"/>
    <w:rsid w:val="42FF70F8"/>
    <w:rsid w:val="432F4189"/>
    <w:rsid w:val="436241CB"/>
    <w:rsid w:val="43B63024"/>
    <w:rsid w:val="44C147DB"/>
    <w:rsid w:val="450F7AD2"/>
    <w:rsid w:val="45154265"/>
    <w:rsid w:val="45355715"/>
    <w:rsid w:val="46267925"/>
    <w:rsid w:val="465626D6"/>
    <w:rsid w:val="4670321D"/>
    <w:rsid w:val="46B6099A"/>
    <w:rsid w:val="46BC369C"/>
    <w:rsid w:val="46D973C9"/>
    <w:rsid w:val="46F57441"/>
    <w:rsid w:val="47040343"/>
    <w:rsid w:val="47596A1D"/>
    <w:rsid w:val="476F5139"/>
    <w:rsid w:val="483D77C2"/>
    <w:rsid w:val="487657D3"/>
    <w:rsid w:val="493E0CCB"/>
    <w:rsid w:val="494574C2"/>
    <w:rsid w:val="497B6FF2"/>
    <w:rsid w:val="49894443"/>
    <w:rsid w:val="49AD5BED"/>
    <w:rsid w:val="49DA2C5A"/>
    <w:rsid w:val="49DE7B2F"/>
    <w:rsid w:val="49F266E1"/>
    <w:rsid w:val="4A0D3D8D"/>
    <w:rsid w:val="4A6D27A8"/>
    <w:rsid w:val="4AA71688"/>
    <w:rsid w:val="4AC544BB"/>
    <w:rsid w:val="4AE2289C"/>
    <w:rsid w:val="4AEB2EAC"/>
    <w:rsid w:val="4B1A6144"/>
    <w:rsid w:val="4B26325B"/>
    <w:rsid w:val="4B48598E"/>
    <w:rsid w:val="4B6363E0"/>
    <w:rsid w:val="4BAB7C31"/>
    <w:rsid w:val="4BC230D9"/>
    <w:rsid w:val="4BC55ABF"/>
    <w:rsid w:val="4C251AF9"/>
    <w:rsid w:val="4C65221A"/>
    <w:rsid w:val="4C885B30"/>
    <w:rsid w:val="4C9B2B75"/>
    <w:rsid w:val="4CBA3672"/>
    <w:rsid w:val="4CC40836"/>
    <w:rsid w:val="4D020D1B"/>
    <w:rsid w:val="4D117D41"/>
    <w:rsid w:val="4D135DC3"/>
    <w:rsid w:val="4D40389F"/>
    <w:rsid w:val="4DF420F5"/>
    <w:rsid w:val="4E645C2C"/>
    <w:rsid w:val="4E880DD7"/>
    <w:rsid w:val="4E9E27A4"/>
    <w:rsid w:val="4EB15C4E"/>
    <w:rsid w:val="4ED1790C"/>
    <w:rsid w:val="4F07605B"/>
    <w:rsid w:val="4F4F5829"/>
    <w:rsid w:val="500130CE"/>
    <w:rsid w:val="50BC584E"/>
    <w:rsid w:val="50E0053E"/>
    <w:rsid w:val="50E75986"/>
    <w:rsid w:val="51322854"/>
    <w:rsid w:val="51C365B2"/>
    <w:rsid w:val="51DA6E2E"/>
    <w:rsid w:val="51E46AE7"/>
    <w:rsid w:val="5266163F"/>
    <w:rsid w:val="52C9784A"/>
    <w:rsid w:val="53FE5606"/>
    <w:rsid w:val="54724B97"/>
    <w:rsid w:val="548358BB"/>
    <w:rsid w:val="54FF3B64"/>
    <w:rsid w:val="556F2863"/>
    <w:rsid w:val="558F53B9"/>
    <w:rsid w:val="55BB5001"/>
    <w:rsid w:val="56080DB4"/>
    <w:rsid w:val="560F104C"/>
    <w:rsid w:val="562767E7"/>
    <w:rsid w:val="56594A37"/>
    <w:rsid w:val="56666EE2"/>
    <w:rsid w:val="56CF7EF9"/>
    <w:rsid w:val="56FA45C0"/>
    <w:rsid w:val="570B0710"/>
    <w:rsid w:val="57283359"/>
    <w:rsid w:val="57301217"/>
    <w:rsid w:val="57AE039A"/>
    <w:rsid w:val="57B34CC5"/>
    <w:rsid w:val="57BF5603"/>
    <w:rsid w:val="57E37910"/>
    <w:rsid w:val="57EA2AD2"/>
    <w:rsid w:val="57FC4542"/>
    <w:rsid w:val="586C6A21"/>
    <w:rsid w:val="59024996"/>
    <w:rsid w:val="596E1AC6"/>
    <w:rsid w:val="5A3572F7"/>
    <w:rsid w:val="5A600155"/>
    <w:rsid w:val="5A623658"/>
    <w:rsid w:val="5A864B12"/>
    <w:rsid w:val="5A865DA5"/>
    <w:rsid w:val="5A964DAC"/>
    <w:rsid w:val="5AA65677"/>
    <w:rsid w:val="5AD145A8"/>
    <w:rsid w:val="5AEF3F5C"/>
    <w:rsid w:val="5B133AED"/>
    <w:rsid w:val="5B600BE4"/>
    <w:rsid w:val="5B84122A"/>
    <w:rsid w:val="5BAA7AB6"/>
    <w:rsid w:val="5CFD206A"/>
    <w:rsid w:val="5D1570A9"/>
    <w:rsid w:val="5DC46AF0"/>
    <w:rsid w:val="5DD70328"/>
    <w:rsid w:val="5E02284A"/>
    <w:rsid w:val="5E0D2DD9"/>
    <w:rsid w:val="5E69675B"/>
    <w:rsid w:val="5EC4038A"/>
    <w:rsid w:val="5EE81843"/>
    <w:rsid w:val="5F1B2C24"/>
    <w:rsid w:val="5F50427D"/>
    <w:rsid w:val="5FB11391"/>
    <w:rsid w:val="5FB844E0"/>
    <w:rsid w:val="5FBE3E4A"/>
    <w:rsid w:val="60955C44"/>
    <w:rsid w:val="60A80276"/>
    <w:rsid w:val="60F4333C"/>
    <w:rsid w:val="61032E37"/>
    <w:rsid w:val="6142291C"/>
    <w:rsid w:val="614A42B9"/>
    <w:rsid w:val="614B322B"/>
    <w:rsid w:val="61B72394"/>
    <w:rsid w:val="61B9175B"/>
    <w:rsid w:val="61BE67B4"/>
    <w:rsid w:val="62030197"/>
    <w:rsid w:val="629B1C54"/>
    <w:rsid w:val="62A323F2"/>
    <w:rsid w:val="62A63745"/>
    <w:rsid w:val="62DA4EE0"/>
    <w:rsid w:val="63180ED9"/>
    <w:rsid w:val="636B232C"/>
    <w:rsid w:val="63DC38E5"/>
    <w:rsid w:val="63FB6398"/>
    <w:rsid w:val="641920C5"/>
    <w:rsid w:val="64657FC6"/>
    <w:rsid w:val="64DB5A06"/>
    <w:rsid w:val="658E7693"/>
    <w:rsid w:val="65B66C35"/>
    <w:rsid w:val="65D95929"/>
    <w:rsid w:val="66007D67"/>
    <w:rsid w:val="660D5DBE"/>
    <w:rsid w:val="662B5A52"/>
    <w:rsid w:val="66570776"/>
    <w:rsid w:val="66B6356E"/>
    <w:rsid w:val="67425DF4"/>
    <w:rsid w:val="67703441"/>
    <w:rsid w:val="6777664F"/>
    <w:rsid w:val="679E650E"/>
    <w:rsid w:val="681F15E7"/>
    <w:rsid w:val="68523D9B"/>
    <w:rsid w:val="6876296E"/>
    <w:rsid w:val="68C23F39"/>
    <w:rsid w:val="68C617F4"/>
    <w:rsid w:val="6921668A"/>
    <w:rsid w:val="692E086F"/>
    <w:rsid w:val="69E375F2"/>
    <w:rsid w:val="6A08467F"/>
    <w:rsid w:val="6A66639C"/>
    <w:rsid w:val="6AC534B8"/>
    <w:rsid w:val="6B0604B5"/>
    <w:rsid w:val="6B142482"/>
    <w:rsid w:val="6B1B4091"/>
    <w:rsid w:val="6B2A74D2"/>
    <w:rsid w:val="6B485019"/>
    <w:rsid w:val="6B5863FA"/>
    <w:rsid w:val="6B6C07CE"/>
    <w:rsid w:val="6BCC6269"/>
    <w:rsid w:val="6BD1083C"/>
    <w:rsid w:val="6BDE3F74"/>
    <w:rsid w:val="6C181AE8"/>
    <w:rsid w:val="6CAA23D4"/>
    <w:rsid w:val="6CBE1074"/>
    <w:rsid w:val="6CF44DF0"/>
    <w:rsid w:val="6CFE2ECE"/>
    <w:rsid w:val="6DA04EEA"/>
    <w:rsid w:val="6E1530D0"/>
    <w:rsid w:val="6E1E7D37"/>
    <w:rsid w:val="6E3A6D0D"/>
    <w:rsid w:val="6E7E696F"/>
    <w:rsid w:val="6E997680"/>
    <w:rsid w:val="6EC86450"/>
    <w:rsid w:val="6F0B235B"/>
    <w:rsid w:val="6F0C35BC"/>
    <w:rsid w:val="6F0C79BF"/>
    <w:rsid w:val="6F46694B"/>
    <w:rsid w:val="6F6E4D38"/>
    <w:rsid w:val="6FC16CB1"/>
    <w:rsid w:val="6FDF5799"/>
    <w:rsid w:val="70460FCF"/>
    <w:rsid w:val="705C05E6"/>
    <w:rsid w:val="70776C11"/>
    <w:rsid w:val="70BE6C1C"/>
    <w:rsid w:val="70E33C4E"/>
    <w:rsid w:val="71092E34"/>
    <w:rsid w:val="71180999"/>
    <w:rsid w:val="715177AE"/>
    <w:rsid w:val="719047D8"/>
    <w:rsid w:val="71C1592F"/>
    <w:rsid w:val="71C254BD"/>
    <w:rsid w:val="71C96239"/>
    <w:rsid w:val="722B2DE0"/>
    <w:rsid w:val="72413CFE"/>
    <w:rsid w:val="72632299"/>
    <w:rsid w:val="726B0346"/>
    <w:rsid w:val="72BE537D"/>
    <w:rsid w:val="72DC3AFD"/>
    <w:rsid w:val="73257DCF"/>
    <w:rsid w:val="735D01F7"/>
    <w:rsid w:val="7395398E"/>
    <w:rsid w:val="746E4293"/>
    <w:rsid w:val="74711995"/>
    <w:rsid w:val="7506570B"/>
    <w:rsid w:val="75096AA8"/>
    <w:rsid w:val="75947170"/>
    <w:rsid w:val="75993F1F"/>
    <w:rsid w:val="75F20EE0"/>
    <w:rsid w:val="761C2024"/>
    <w:rsid w:val="763E110E"/>
    <w:rsid w:val="76972EC0"/>
    <w:rsid w:val="76B30C4A"/>
    <w:rsid w:val="7701204E"/>
    <w:rsid w:val="77726CC0"/>
    <w:rsid w:val="77804DE4"/>
    <w:rsid w:val="77954AC0"/>
    <w:rsid w:val="77BA61D3"/>
    <w:rsid w:val="77FA69E3"/>
    <w:rsid w:val="780211C0"/>
    <w:rsid w:val="787D351A"/>
    <w:rsid w:val="78CC477E"/>
    <w:rsid w:val="78D92D55"/>
    <w:rsid w:val="792D38DD"/>
    <w:rsid w:val="799A3D0D"/>
    <w:rsid w:val="79E05B95"/>
    <w:rsid w:val="79F521A7"/>
    <w:rsid w:val="79FF57A3"/>
    <w:rsid w:val="7A6153B6"/>
    <w:rsid w:val="7B6B3186"/>
    <w:rsid w:val="7B7E1B28"/>
    <w:rsid w:val="7C4C4989"/>
    <w:rsid w:val="7C705A17"/>
    <w:rsid w:val="7C890C4B"/>
    <w:rsid w:val="7CA03CF7"/>
    <w:rsid w:val="7DBC25AC"/>
    <w:rsid w:val="7DDA36CB"/>
    <w:rsid w:val="7E1D36F5"/>
    <w:rsid w:val="7EA20FAC"/>
    <w:rsid w:val="7F9C4F80"/>
    <w:rsid w:val="7FF25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4"/>
    <w:qFormat/>
    <w:uiPriority w:val="0"/>
    <w:pPr>
      <w:keepNext/>
      <w:keepLines/>
      <w:autoSpaceDE w:val="0"/>
      <w:autoSpaceDN w:val="0"/>
      <w:adjustRightInd w:val="0"/>
      <w:spacing w:before="240" w:after="120" w:line="300" w:lineRule="auto"/>
      <w:jc w:val="center"/>
      <w:outlineLvl w:val="0"/>
    </w:pPr>
    <w:rPr>
      <w:rFonts w:ascii="宋体" w:hAnsi="宋体"/>
      <w:b/>
      <w:kern w:val="44"/>
      <w:sz w:val="24"/>
    </w:rPr>
  </w:style>
  <w:style w:type="paragraph" w:styleId="3">
    <w:name w:val="heading 2"/>
    <w:basedOn w:val="1"/>
    <w:next w:val="1"/>
    <w:link w:val="149"/>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rPr>
  </w:style>
  <w:style w:type="paragraph" w:styleId="4">
    <w:name w:val="heading 3"/>
    <w:basedOn w:val="1"/>
    <w:next w:val="1"/>
    <w:link w:val="165"/>
    <w:qFormat/>
    <w:uiPriority w:val="0"/>
    <w:pPr>
      <w:keepNext/>
      <w:keepLines/>
      <w:spacing w:before="260" w:after="260" w:line="413" w:lineRule="auto"/>
      <w:outlineLvl w:val="2"/>
    </w:pPr>
    <w:rPr>
      <w:b/>
      <w:sz w:val="32"/>
    </w:rPr>
  </w:style>
  <w:style w:type="paragraph" w:styleId="5">
    <w:name w:val="heading 4"/>
    <w:basedOn w:val="1"/>
    <w:next w:val="1"/>
    <w:link w:val="15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autoRedefine/>
    <w:qFormat/>
    <w:uiPriority w:val="0"/>
    <w:pPr>
      <w:widowControl/>
      <w:tabs>
        <w:tab w:val="left" w:pos="1152"/>
      </w:tabs>
      <w:spacing w:before="120" w:after="60"/>
      <w:ind w:left="1152" w:hanging="1152"/>
      <w:jc w:val="left"/>
      <w:outlineLvl w:val="5"/>
    </w:pPr>
    <w:rPr>
      <w:i/>
      <w:kern w:val="0"/>
      <w:sz w:val="22"/>
    </w:rPr>
  </w:style>
  <w:style w:type="paragraph" w:styleId="8">
    <w:name w:val="heading 7"/>
    <w:basedOn w:val="1"/>
    <w:next w:val="1"/>
    <w:autoRedefine/>
    <w:qFormat/>
    <w:uiPriority w:val="0"/>
    <w:pPr>
      <w:widowControl/>
      <w:tabs>
        <w:tab w:val="left" w:pos="1296"/>
      </w:tabs>
      <w:spacing w:before="240" w:after="60"/>
      <w:ind w:left="1296" w:hanging="1296"/>
      <w:jc w:val="left"/>
      <w:outlineLvl w:val="6"/>
    </w:pPr>
    <w:rPr>
      <w:rFonts w:ascii="Arial" w:hAnsi="Arial"/>
      <w:kern w:val="0"/>
      <w:sz w:val="20"/>
    </w:rPr>
  </w:style>
  <w:style w:type="paragraph" w:styleId="9">
    <w:name w:val="heading 8"/>
    <w:basedOn w:val="1"/>
    <w:next w:val="1"/>
    <w:qFormat/>
    <w:uiPriority w:val="0"/>
    <w:pPr>
      <w:widowControl/>
      <w:tabs>
        <w:tab w:val="left" w:pos="1440"/>
      </w:tabs>
      <w:spacing w:before="240" w:after="60"/>
      <w:ind w:left="1440" w:hanging="1440"/>
      <w:jc w:val="left"/>
      <w:outlineLvl w:val="7"/>
    </w:pPr>
    <w:rPr>
      <w:rFonts w:ascii="Arial" w:hAnsi="Arial"/>
      <w:i/>
      <w:kern w:val="0"/>
      <w:sz w:val="20"/>
    </w:rPr>
  </w:style>
  <w:style w:type="paragraph" w:styleId="10">
    <w:name w:val="heading 9"/>
    <w:basedOn w:val="1"/>
    <w:next w:val="1"/>
    <w:autoRedefine/>
    <w:qFormat/>
    <w:uiPriority w:val="0"/>
    <w:pPr>
      <w:widowControl/>
      <w:tabs>
        <w:tab w:val="left" w:pos="1584"/>
      </w:tabs>
      <w:spacing w:before="240" w:after="60"/>
      <w:ind w:left="1584" w:hanging="1584"/>
      <w:jc w:val="left"/>
      <w:outlineLvl w:val="8"/>
    </w:pPr>
    <w:rPr>
      <w:rFonts w:ascii="Arial" w:hAnsi="Arial"/>
      <w:b/>
      <w:i/>
      <w:kern w:val="0"/>
      <w:sz w:val="18"/>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0"/>
    <w:pPr>
      <w:ind w:left="2520" w:leftChars="1200"/>
    </w:pPr>
  </w:style>
  <w:style w:type="paragraph" w:styleId="12">
    <w:name w:val="Normal Indent"/>
    <w:basedOn w:val="1"/>
    <w:link w:val="157"/>
    <w:autoRedefine/>
    <w:qFormat/>
    <w:uiPriority w:val="0"/>
    <w:pPr>
      <w:ind w:firstLine="420" w:firstLineChars="200"/>
    </w:pPr>
  </w:style>
  <w:style w:type="paragraph" w:styleId="13">
    <w:name w:val="caption"/>
    <w:basedOn w:val="1"/>
    <w:next w:val="1"/>
    <w:qFormat/>
    <w:uiPriority w:val="0"/>
    <w:pPr>
      <w:spacing w:before="152" w:after="160"/>
    </w:pPr>
    <w:rPr>
      <w:rFonts w:ascii="Arial" w:hAnsi="Arial" w:eastAsia="黑体" w:cs="Arial"/>
      <w:sz w:val="20"/>
    </w:rPr>
  </w:style>
  <w:style w:type="paragraph" w:styleId="14">
    <w:name w:val="Document Map"/>
    <w:basedOn w:val="1"/>
    <w:autoRedefine/>
    <w:semiHidden/>
    <w:qFormat/>
    <w:uiPriority w:val="0"/>
    <w:pPr>
      <w:shd w:val="clear" w:color="auto" w:fill="000080"/>
    </w:pPr>
    <w:rPr>
      <w:szCs w:val="24"/>
    </w:rPr>
  </w:style>
  <w:style w:type="paragraph" w:styleId="15">
    <w:name w:val="annotation text"/>
    <w:basedOn w:val="1"/>
    <w:semiHidden/>
    <w:qFormat/>
    <w:uiPriority w:val="0"/>
    <w:pPr>
      <w:jc w:val="left"/>
    </w:pPr>
  </w:style>
  <w:style w:type="paragraph" w:styleId="16">
    <w:name w:val="Body Text 3"/>
    <w:basedOn w:val="1"/>
    <w:autoRedefine/>
    <w:qFormat/>
    <w:uiPriority w:val="0"/>
    <w:rPr>
      <w:color w:val="000000"/>
      <w:sz w:val="28"/>
      <w:szCs w:val="24"/>
    </w:rPr>
  </w:style>
  <w:style w:type="paragraph" w:styleId="17">
    <w:name w:val="Body Text"/>
    <w:basedOn w:val="1"/>
    <w:next w:val="1"/>
    <w:autoRedefine/>
    <w:qFormat/>
    <w:uiPriority w:val="0"/>
    <w:rPr>
      <w:sz w:val="24"/>
    </w:rPr>
  </w:style>
  <w:style w:type="paragraph" w:styleId="18">
    <w:name w:val="Body Text Indent"/>
    <w:basedOn w:val="1"/>
    <w:link w:val="161"/>
    <w:autoRedefine/>
    <w:qFormat/>
    <w:uiPriority w:val="0"/>
    <w:pPr>
      <w:snapToGrid w:val="0"/>
      <w:spacing w:line="300" w:lineRule="auto"/>
      <w:ind w:firstLine="524" w:firstLineChars="187"/>
    </w:pPr>
    <w:rPr>
      <w:rFonts w:eastAsia="仿宋_GB2312"/>
      <w:sz w:val="28"/>
    </w:rPr>
  </w:style>
  <w:style w:type="paragraph" w:styleId="19">
    <w:name w:val="toc 5"/>
    <w:basedOn w:val="1"/>
    <w:next w:val="1"/>
    <w:autoRedefine/>
    <w:semiHidden/>
    <w:qFormat/>
    <w:uiPriority w:val="0"/>
    <w:pPr>
      <w:ind w:left="1680" w:leftChars="800"/>
    </w:pPr>
  </w:style>
  <w:style w:type="paragraph" w:styleId="20">
    <w:name w:val="toc 3"/>
    <w:basedOn w:val="1"/>
    <w:next w:val="1"/>
    <w:autoRedefine/>
    <w:qFormat/>
    <w:uiPriority w:val="0"/>
    <w:pPr>
      <w:ind w:left="840" w:leftChars="400"/>
    </w:pPr>
  </w:style>
  <w:style w:type="paragraph" w:styleId="21">
    <w:name w:val="Plain Text"/>
    <w:basedOn w:val="1"/>
    <w:link w:val="160"/>
    <w:autoRedefine/>
    <w:qFormat/>
    <w:uiPriority w:val="0"/>
    <w:rPr>
      <w:rFonts w:ascii="宋体" w:hAnsi="Courier New"/>
    </w:rPr>
  </w:style>
  <w:style w:type="paragraph" w:styleId="22">
    <w:name w:val="toc 8"/>
    <w:basedOn w:val="1"/>
    <w:next w:val="1"/>
    <w:autoRedefine/>
    <w:semiHidden/>
    <w:qFormat/>
    <w:uiPriority w:val="0"/>
    <w:pPr>
      <w:ind w:left="2940" w:leftChars="1400"/>
    </w:pPr>
  </w:style>
  <w:style w:type="paragraph" w:styleId="23">
    <w:name w:val="Date"/>
    <w:basedOn w:val="1"/>
    <w:next w:val="1"/>
    <w:autoRedefine/>
    <w:qFormat/>
    <w:uiPriority w:val="0"/>
    <w:pPr>
      <w:ind w:left="100" w:leftChars="2500"/>
    </w:pPr>
    <w:rPr>
      <w:b/>
      <w:sz w:val="30"/>
    </w:rPr>
  </w:style>
  <w:style w:type="paragraph" w:styleId="24">
    <w:name w:val="Body Text Indent 2"/>
    <w:basedOn w:val="1"/>
    <w:autoRedefine/>
    <w:qFormat/>
    <w:uiPriority w:val="0"/>
    <w:pPr>
      <w:spacing w:after="120" w:line="480" w:lineRule="auto"/>
      <w:ind w:left="420"/>
    </w:pPr>
  </w:style>
  <w:style w:type="paragraph" w:styleId="25">
    <w:name w:val="Balloon Text"/>
    <w:basedOn w:val="1"/>
    <w:autoRedefine/>
    <w:semiHidden/>
    <w:qFormat/>
    <w:uiPriority w:val="0"/>
    <w:rPr>
      <w:sz w:val="18"/>
      <w:szCs w:val="18"/>
    </w:rPr>
  </w:style>
  <w:style w:type="paragraph" w:styleId="26">
    <w:name w:val="footer"/>
    <w:basedOn w:val="1"/>
    <w:link w:val="152"/>
    <w:autoRedefine/>
    <w:qFormat/>
    <w:uiPriority w:val="0"/>
    <w:pPr>
      <w:tabs>
        <w:tab w:val="center" w:pos="4153"/>
        <w:tab w:val="right" w:pos="8306"/>
      </w:tabs>
      <w:adjustRightInd w:val="0"/>
      <w:spacing w:line="240" w:lineRule="atLeast"/>
      <w:jc w:val="left"/>
      <w:textAlignment w:val="baseline"/>
    </w:pPr>
    <w:rPr>
      <w:kern w:val="0"/>
      <w:sz w:val="18"/>
    </w:rPr>
  </w:style>
  <w:style w:type="paragraph" w:styleId="2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autoRedefine/>
    <w:qFormat/>
    <w:uiPriority w:val="0"/>
  </w:style>
  <w:style w:type="paragraph" w:styleId="29">
    <w:name w:val="toc 4"/>
    <w:basedOn w:val="1"/>
    <w:next w:val="1"/>
    <w:autoRedefine/>
    <w:semiHidden/>
    <w:qFormat/>
    <w:uiPriority w:val="0"/>
    <w:pPr>
      <w:ind w:left="1260" w:leftChars="600"/>
    </w:pPr>
  </w:style>
  <w:style w:type="paragraph" w:styleId="30">
    <w:name w:val="index heading"/>
    <w:basedOn w:val="1"/>
    <w:next w:val="31"/>
    <w:autoRedefine/>
    <w:semiHidden/>
    <w:qFormat/>
    <w:uiPriority w:val="0"/>
    <w:rPr>
      <w:szCs w:val="24"/>
    </w:rPr>
  </w:style>
  <w:style w:type="paragraph" w:styleId="31">
    <w:name w:val="index 1"/>
    <w:basedOn w:val="1"/>
    <w:next w:val="1"/>
    <w:autoRedefine/>
    <w:semiHidden/>
    <w:qFormat/>
    <w:uiPriority w:val="0"/>
  </w:style>
  <w:style w:type="paragraph" w:styleId="32">
    <w:name w:val="List"/>
    <w:basedOn w:val="1"/>
    <w:autoRedefine/>
    <w:unhideWhenUsed/>
    <w:qFormat/>
    <w:uiPriority w:val="0"/>
    <w:pPr>
      <w:ind w:left="420" w:hanging="420"/>
    </w:pPr>
  </w:style>
  <w:style w:type="paragraph" w:styleId="33">
    <w:name w:val="footnote text"/>
    <w:basedOn w:val="1"/>
    <w:autoRedefine/>
    <w:semiHidden/>
    <w:qFormat/>
    <w:uiPriority w:val="0"/>
    <w:pPr>
      <w:snapToGrid w:val="0"/>
      <w:jc w:val="left"/>
    </w:pPr>
    <w:rPr>
      <w:sz w:val="18"/>
      <w:szCs w:val="18"/>
    </w:rPr>
  </w:style>
  <w:style w:type="paragraph" w:styleId="34">
    <w:name w:val="toc 6"/>
    <w:basedOn w:val="1"/>
    <w:next w:val="1"/>
    <w:autoRedefine/>
    <w:semiHidden/>
    <w:qFormat/>
    <w:uiPriority w:val="0"/>
    <w:pPr>
      <w:ind w:left="2100" w:leftChars="1000"/>
    </w:pPr>
  </w:style>
  <w:style w:type="paragraph" w:styleId="35">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rPr>
  </w:style>
  <w:style w:type="paragraph" w:styleId="36">
    <w:name w:val="toc 2"/>
    <w:basedOn w:val="1"/>
    <w:next w:val="1"/>
    <w:autoRedefine/>
    <w:qFormat/>
    <w:uiPriority w:val="0"/>
    <w:pPr>
      <w:ind w:left="420" w:leftChars="200"/>
    </w:pPr>
  </w:style>
  <w:style w:type="paragraph" w:styleId="37">
    <w:name w:val="toc 9"/>
    <w:basedOn w:val="1"/>
    <w:next w:val="1"/>
    <w:autoRedefine/>
    <w:semiHidden/>
    <w:qFormat/>
    <w:uiPriority w:val="0"/>
    <w:pPr>
      <w:ind w:left="3360" w:leftChars="1600"/>
    </w:pPr>
  </w:style>
  <w:style w:type="paragraph" w:styleId="38">
    <w:name w:val="Body Text 2"/>
    <w:basedOn w:val="1"/>
    <w:autoRedefine/>
    <w:qFormat/>
    <w:uiPriority w:val="0"/>
    <w:rPr>
      <w:rFonts w:hAnsi="Arial"/>
      <w:sz w:val="16"/>
      <w:szCs w:val="16"/>
    </w:rPr>
  </w:style>
  <w:style w:type="paragraph" w:styleId="3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0">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41">
    <w:name w:val="Title"/>
    <w:basedOn w:val="1"/>
    <w:autoRedefine/>
    <w:qFormat/>
    <w:uiPriority w:val="0"/>
    <w:pPr>
      <w:numPr>
        <w:ilvl w:val="0"/>
        <w:numId w:val="1"/>
      </w:numPr>
      <w:spacing w:before="240" w:after="60"/>
      <w:jc w:val="left"/>
      <w:outlineLvl w:val="0"/>
    </w:pPr>
    <w:rPr>
      <w:rFonts w:ascii="Arial" w:hAnsi="Arial" w:cs="Arial"/>
      <w:b/>
      <w:bCs/>
      <w:sz w:val="28"/>
      <w:szCs w:val="32"/>
    </w:rPr>
  </w:style>
  <w:style w:type="paragraph" w:styleId="42">
    <w:name w:val="annotation subject"/>
    <w:basedOn w:val="15"/>
    <w:next w:val="15"/>
    <w:autoRedefine/>
    <w:semiHidden/>
    <w:qFormat/>
    <w:uiPriority w:val="0"/>
    <w:rPr>
      <w:b/>
      <w:bCs/>
      <w:szCs w:val="24"/>
    </w:rPr>
  </w:style>
  <w:style w:type="table" w:styleId="44">
    <w:name w:val="Table Grid"/>
    <w:basedOn w:val="4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b/>
      <w:bCs/>
    </w:rPr>
  </w:style>
  <w:style w:type="character" w:styleId="47">
    <w:name w:val="page number"/>
    <w:basedOn w:val="45"/>
    <w:autoRedefine/>
    <w:qFormat/>
    <w:uiPriority w:val="0"/>
  </w:style>
  <w:style w:type="character" w:styleId="48">
    <w:name w:val="FollowedHyperlink"/>
    <w:autoRedefine/>
    <w:qFormat/>
    <w:uiPriority w:val="99"/>
    <w:rPr>
      <w:color w:val="800080"/>
      <w:u w:val="none"/>
    </w:rPr>
  </w:style>
  <w:style w:type="character" w:styleId="49">
    <w:name w:val="Hyperlink"/>
    <w:autoRedefine/>
    <w:qFormat/>
    <w:uiPriority w:val="99"/>
    <w:rPr>
      <w:caps/>
      <w:color w:val="0000FF"/>
    </w:rPr>
  </w:style>
  <w:style w:type="character" w:styleId="50">
    <w:name w:val="annotation reference"/>
    <w:autoRedefine/>
    <w:semiHidden/>
    <w:qFormat/>
    <w:uiPriority w:val="0"/>
    <w:rPr>
      <w:sz w:val="21"/>
    </w:rPr>
  </w:style>
  <w:style w:type="character" w:styleId="51">
    <w:name w:val="footnote reference"/>
    <w:autoRedefine/>
    <w:semiHidden/>
    <w:qFormat/>
    <w:uiPriority w:val="0"/>
    <w:rPr>
      <w:vertAlign w:val="superscript"/>
    </w:rPr>
  </w:style>
  <w:style w:type="paragraph" w:styleId="52">
    <w:name w:val="No Spacing"/>
    <w:qFormat/>
    <w:uiPriority w:val="1"/>
    <w:rPr>
      <w:rFonts w:ascii="Calibri" w:hAnsi="Calibri" w:eastAsia="宋体" w:cs="Times New Roman"/>
      <w:sz w:val="22"/>
      <w:szCs w:val="22"/>
      <w:lang w:val="en-US" w:eastAsia="zh-CN" w:bidi="ar-SA"/>
    </w:rPr>
  </w:style>
  <w:style w:type="paragraph" w:customStyle="1" w:styleId="53">
    <w:name w:val="正文（缩进） Char"/>
    <w:basedOn w:val="1"/>
    <w:link w:val="153"/>
    <w:autoRedefine/>
    <w:qFormat/>
    <w:uiPriority w:val="0"/>
    <w:pPr>
      <w:spacing w:before="156" w:beforeLines="50" w:after="156" w:afterLines="50" w:line="360" w:lineRule="auto"/>
      <w:ind w:firstLine="480" w:firstLineChars="200"/>
    </w:pPr>
    <w:rPr>
      <w:sz w:val="24"/>
      <w:szCs w:val="24"/>
    </w:rPr>
  </w:style>
  <w:style w:type="paragraph" w:customStyle="1" w:styleId="54">
    <w:name w:val="正文（缩进）"/>
    <w:basedOn w:val="1"/>
    <w:link w:val="158"/>
    <w:autoRedefine/>
    <w:qFormat/>
    <w:uiPriority w:val="0"/>
    <w:pPr>
      <w:spacing w:before="156" w:beforeLines="50" w:after="156" w:afterLines="50" w:line="360" w:lineRule="auto"/>
      <w:ind w:firstLine="480" w:firstLineChars="200"/>
    </w:pPr>
    <w:rPr>
      <w:sz w:val="24"/>
      <w:szCs w:val="24"/>
    </w:rPr>
  </w:style>
  <w:style w:type="paragraph" w:customStyle="1" w:styleId="55">
    <w:name w:val="Text Char Char"/>
    <w:basedOn w:val="1"/>
    <w:link w:val="162"/>
    <w:autoRedefine/>
    <w:qFormat/>
    <w:uiPriority w:val="0"/>
    <w:pPr>
      <w:widowControl/>
      <w:spacing w:after="120"/>
      <w:jc w:val="left"/>
    </w:pPr>
    <w:rPr>
      <w:kern w:val="0"/>
      <w:sz w:val="24"/>
      <w:lang w:eastAsia="en-US"/>
    </w:rPr>
  </w:style>
  <w:style w:type="paragraph" w:customStyle="1" w:styleId="56">
    <w:name w:val="Char1 Char Char1 Char"/>
    <w:basedOn w:val="1"/>
    <w:autoRedefine/>
    <w:qFormat/>
    <w:uiPriority w:val="0"/>
    <w:pPr>
      <w:tabs>
        <w:tab w:val="left" w:pos="420"/>
      </w:tabs>
      <w:ind w:left="420" w:hanging="420"/>
    </w:pPr>
    <w:rPr>
      <w:rFonts w:ascii="Tahoma" w:hAnsi="Tahoma" w:cs="Tahoma"/>
      <w:sz w:val="28"/>
      <w:szCs w:val="28"/>
    </w:rPr>
  </w:style>
  <w:style w:type="paragraph" w:customStyle="1" w:styleId="57">
    <w:name w:val="xl51"/>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58">
    <w:name w:val="xl3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59">
    <w:name w:val="xl59"/>
    <w:basedOn w:val="1"/>
    <w:autoRedefine/>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20"/>
    </w:rPr>
  </w:style>
  <w:style w:type="paragraph" w:customStyle="1" w:styleId="61">
    <w:name w:val="图文"/>
    <w:basedOn w:val="1"/>
    <w:autoRedefine/>
    <w:qFormat/>
    <w:uiPriority w:val="0"/>
    <w:pPr>
      <w:adjustRightInd w:val="0"/>
      <w:snapToGrid w:val="0"/>
      <w:spacing w:after="50" w:line="360" w:lineRule="auto"/>
    </w:pPr>
    <w:rPr>
      <w:sz w:val="24"/>
    </w:rPr>
  </w:style>
  <w:style w:type="paragraph" w:customStyle="1" w:styleId="62">
    <w:name w:val="xl53"/>
    <w:basedOn w:val="1"/>
    <w:autoRedefine/>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3">
    <w:name w:val="font9"/>
    <w:basedOn w:val="1"/>
    <w:autoRedefine/>
    <w:qFormat/>
    <w:uiPriority w:val="0"/>
    <w:pPr>
      <w:widowControl/>
      <w:spacing w:before="100" w:beforeAutospacing="1" w:after="100" w:afterAutospacing="1"/>
      <w:jc w:val="left"/>
    </w:pPr>
    <w:rPr>
      <w:rFonts w:eastAsia="Arial Unicode MS"/>
      <w:kern w:val="0"/>
      <w:sz w:val="20"/>
    </w:rPr>
  </w:style>
  <w:style w:type="paragraph" w:customStyle="1" w:styleId="64">
    <w:name w:val="项目"/>
    <w:basedOn w:val="1"/>
    <w:autoRedefine/>
    <w:qFormat/>
    <w:uiPriority w:val="0"/>
    <w:pPr>
      <w:numPr>
        <w:ilvl w:val="0"/>
        <w:numId w:val="2"/>
      </w:numPr>
      <w:tabs>
        <w:tab w:val="left" w:pos="425"/>
        <w:tab w:val="clear" w:pos="880"/>
      </w:tabs>
      <w:adjustRightInd w:val="0"/>
      <w:spacing w:before="120" w:after="120"/>
      <w:ind w:left="425" w:hanging="425"/>
      <w:jc w:val="left"/>
    </w:pPr>
    <w:rPr>
      <w:rFonts w:ascii="宋体"/>
      <w:kern w:val="0"/>
      <w:sz w:val="24"/>
    </w:rPr>
  </w:style>
  <w:style w:type="paragraph" w:customStyle="1" w:styleId="65">
    <w:name w:val="文章标题"/>
    <w:next w:val="2"/>
    <w:autoRedefine/>
    <w:qFormat/>
    <w:uiPriority w:val="0"/>
    <w:pPr>
      <w:widowControl w:val="0"/>
      <w:adjustRightInd w:val="0"/>
      <w:spacing w:before="120" w:after="120"/>
      <w:jc w:val="center"/>
      <w:textAlignment w:val="baseline"/>
    </w:pPr>
    <w:rPr>
      <w:rFonts w:ascii="黑体" w:hAnsi="Times New Roman" w:eastAsia="黑体" w:cs="Times New Roman"/>
      <w:b/>
      <w:spacing w:val="20"/>
      <w:sz w:val="36"/>
      <w:lang w:val="en-US" w:eastAsia="zh-CN" w:bidi="ar-SA"/>
    </w:rPr>
  </w:style>
  <w:style w:type="paragraph" w:customStyle="1" w:styleId="66">
    <w:name w:val="tableheading"/>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xl3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b/>
      <w:bCs/>
      <w:kern w:val="0"/>
      <w:sz w:val="24"/>
      <w:szCs w:val="24"/>
    </w:rPr>
  </w:style>
  <w:style w:type="paragraph" w:customStyle="1" w:styleId="68">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b/>
      <w:bCs/>
      <w:kern w:val="0"/>
      <w:sz w:val="24"/>
      <w:szCs w:val="24"/>
    </w:rPr>
  </w:style>
  <w:style w:type="paragraph" w:customStyle="1" w:styleId="69">
    <w:name w:val="xl5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70">
    <w:name w:val="font14"/>
    <w:basedOn w:val="1"/>
    <w:autoRedefine/>
    <w:qFormat/>
    <w:uiPriority w:val="0"/>
    <w:pPr>
      <w:widowControl/>
      <w:spacing w:before="100" w:beforeAutospacing="1" w:after="100" w:afterAutospacing="1"/>
      <w:jc w:val="left"/>
    </w:pPr>
    <w:rPr>
      <w:rFonts w:hint="eastAsia" w:ascii="宋体" w:hAnsi="宋体" w:cs="Arial Unicode MS"/>
      <w:i/>
      <w:iCs/>
      <w:color w:val="000000"/>
      <w:kern w:val="0"/>
      <w:szCs w:val="21"/>
    </w:rPr>
  </w:style>
  <w:style w:type="paragraph" w:customStyle="1" w:styleId="71">
    <w:name w:val="图"/>
    <w:basedOn w:val="1"/>
    <w:next w:val="1"/>
    <w:autoRedefine/>
    <w:qFormat/>
    <w:uiPriority w:val="0"/>
    <w:pPr>
      <w:tabs>
        <w:tab w:val="left" w:pos="680"/>
      </w:tabs>
      <w:adjustRightInd w:val="0"/>
      <w:spacing w:before="60" w:after="60" w:line="360" w:lineRule="atLeast"/>
      <w:jc w:val="center"/>
      <w:textAlignment w:val="baseline"/>
    </w:pPr>
    <w:rPr>
      <w:rFonts w:eastAsia="仿宋_GB2312"/>
      <w:b/>
      <w:kern w:val="0"/>
      <w:sz w:val="28"/>
    </w:rPr>
  </w:style>
  <w:style w:type="paragraph" w:customStyle="1" w:styleId="72">
    <w:name w:val="xl6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73">
    <w:name w:val="font6"/>
    <w:basedOn w:val="1"/>
    <w:autoRedefine/>
    <w:qFormat/>
    <w:uiPriority w:val="0"/>
    <w:pPr>
      <w:widowControl/>
      <w:spacing w:before="100" w:beforeAutospacing="1" w:after="100" w:afterAutospacing="1"/>
      <w:jc w:val="left"/>
    </w:pPr>
    <w:rPr>
      <w:rFonts w:hint="eastAsia" w:ascii="宋体" w:hAnsi="宋体"/>
      <w:kern w:val="0"/>
      <w:sz w:val="20"/>
    </w:rPr>
  </w:style>
  <w:style w:type="paragraph" w:customStyle="1" w:styleId="74">
    <w:name w:val="Char Char Char Char Char Char Char Char"/>
    <w:basedOn w:val="1"/>
    <w:autoRedefine/>
    <w:qFormat/>
    <w:uiPriority w:val="0"/>
    <w:pPr>
      <w:tabs>
        <w:tab w:val="left" w:pos="360"/>
      </w:tabs>
    </w:pPr>
    <w:rPr>
      <w:sz w:val="24"/>
      <w:szCs w:val="24"/>
    </w:rPr>
  </w:style>
  <w:style w:type="paragraph" w:customStyle="1" w:styleId="75">
    <w:name w:val="正文内容"/>
    <w:basedOn w:val="1"/>
    <w:autoRedefine/>
    <w:qFormat/>
    <w:uiPriority w:val="0"/>
    <w:pPr>
      <w:adjustRightInd w:val="0"/>
      <w:spacing w:line="360" w:lineRule="auto"/>
      <w:ind w:firstLine="480" w:firstLineChars="200"/>
      <w:jc w:val="left"/>
      <w:textAlignment w:val="baseline"/>
    </w:pPr>
    <w:rPr>
      <w:rFonts w:ascii="Arial" w:hAnsi="Arial"/>
      <w:sz w:val="24"/>
      <w:szCs w:val="21"/>
    </w:rPr>
  </w:style>
  <w:style w:type="paragraph" w:customStyle="1" w:styleId="76">
    <w:name w:val="0"/>
    <w:basedOn w:val="1"/>
    <w:autoRedefine/>
    <w:qFormat/>
    <w:uiPriority w:val="0"/>
    <w:pPr>
      <w:widowControl/>
      <w:snapToGrid w:val="0"/>
      <w:spacing w:before="156" w:after="156" w:line="360" w:lineRule="auto"/>
    </w:pPr>
    <w:rPr>
      <w:kern w:val="0"/>
      <w:sz w:val="24"/>
    </w:rPr>
  </w:style>
  <w:style w:type="paragraph" w:customStyle="1" w:styleId="77">
    <w:name w:val="正文格式"/>
    <w:basedOn w:val="1"/>
    <w:autoRedefine/>
    <w:qFormat/>
    <w:uiPriority w:val="0"/>
    <w:pPr>
      <w:widowControl/>
      <w:adjustRightInd w:val="0"/>
      <w:snapToGrid w:val="0"/>
      <w:spacing w:line="360" w:lineRule="atLeast"/>
      <w:ind w:firstLine="482"/>
      <w:textAlignment w:val="baseline"/>
    </w:pPr>
    <w:rPr>
      <w:kern w:val="0"/>
      <w:sz w:val="24"/>
    </w:rPr>
  </w:style>
  <w:style w:type="paragraph" w:customStyle="1" w:styleId="78">
    <w:name w:val="font10"/>
    <w:basedOn w:val="1"/>
    <w:autoRedefine/>
    <w:qFormat/>
    <w:uiPriority w:val="0"/>
    <w:pPr>
      <w:widowControl/>
      <w:spacing w:before="100" w:beforeAutospacing="1" w:after="100" w:afterAutospacing="1"/>
      <w:jc w:val="left"/>
    </w:pPr>
    <w:rPr>
      <w:rFonts w:hint="eastAsia" w:ascii="宋体" w:hAnsi="宋体" w:cs="Arial Unicode MS"/>
      <w:b/>
      <w:bCs/>
      <w:color w:val="000000"/>
      <w:kern w:val="0"/>
      <w:sz w:val="20"/>
    </w:rPr>
  </w:style>
  <w:style w:type="paragraph" w:customStyle="1" w:styleId="79">
    <w:name w:val="Char Char Char Char"/>
    <w:basedOn w:val="14"/>
    <w:autoRedefine/>
    <w:qFormat/>
    <w:uiPriority w:val="0"/>
    <w:rPr>
      <w:rFonts w:ascii="Tahoma" w:hAnsi="Tahoma"/>
      <w:sz w:val="24"/>
    </w:rPr>
  </w:style>
  <w:style w:type="paragraph" w:customStyle="1" w:styleId="80">
    <w:name w:val="1"/>
    <w:basedOn w:val="1"/>
    <w:next w:val="24"/>
    <w:autoRedefine/>
    <w:qFormat/>
    <w:uiPriority w:val="0"/>
    <w:pPr>
      <w:adjustRightInd w:val="0"/>
      <w:spacing w:line="360" w:lineRule="atLeast"/>
      <w:ind w:left="600" w:firstLine="720"/>
      <w:jc w:val="left"/>
      <w:textAlignment w:val="baseline"/>
    </w:pPr>
    <w:rPr>
      <w:rFonts w:ascii="宋体"/>
      <w:kern w:val="0"/>
      <w:sz w:val="24"/>
    </w:rPr>
  </w:style>
  <w:style w:type="paragraph" w:customStyle="1" w:styleId="81">
    <w:name w:val="标题6"/>
    <w:basedOn w:val="21"/>
    <w:autoRedefine/>
    <w:qFormat/>
    <w:uiPriority w:val="0"/>
    <w:pPr>
      <w:spacing w:line="360" w:lineRule="auto"/>
    </w:pPr>
    <w:rPr>
      <w:rFonts w:hAnsi="宋体"/>
      <w:b/>
    </w:rPr>
  </w:style>
  <w:style w:type="paragraph" w:customStyle="1" w:styleId="82">
    <w:name w:val="项目2"/>
    <w:basedOn w:val="1"/>
    <w:autoRedefine/>
    <w:qFormat/>
    <w:uiPriority w:val="0"/>
    <w:pPr>
      <w:tabs>
        <w:tab w:val="left" w:pos="425"/>
      </w:tabs>
      <w:spacing w:before="60" w:after="60" w:line="360" w:lineRule="auto"/>
      <w:ind w:left="425" w:hanging="425"/>
    </w:pPr>
    <w:rPr>
      <w:sz w:val="24"/>
    </w:rPr>
  </w:style>
  <w:style w:type="paragraph" w:customStyle="1" w:styleId="83">
    <w:name w:val="xl47"/>
    <w:basedOn w:val="1"/>
    <w:autoRedefine/>
    <w:qFormat/>
    <w:uiPriority w:val="0"/>
    <w:pPr>
      <w:widowControl/>
      <w:pBdr>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4">
    <w:name w:val="样式1"/>
    <w:basedOn w:val="5"/>
    <w:autoRedefine/>
    <w:qFormat/>
    <w:uiPriority w:val="0"/>
    <w:pPr>
      <w:tabs>
        <w:tab w:val="left" w:pos="992"/>
      </w:tabs>
      <w:spacing w:line="420" w:lineRule="exact"/>
      <w:ind w:left="992" w:hanging="567"/>
    </w:pPr>
    <w:rPr>
      <w:sz w:val="24"/>
    </w:rPr>
  </w:style>
  <w:style w:type="paragraph" w:customStyle="1" w:styleId="85">
    <w:name w:val="xl4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6">
    <w:name w:val="标题3"/>
    <w:basedOn w:val="4"/>
    <w:autoRedefine/>
    <w:qFormat/>
    <w:uiPriority w:val="0"/>
    <w:pPr>
      <w:spacing w:before="0" w:after="0" w:line="360" w:lineRule="auto"/>
      <w:ind w:left="1258" w:hanging="1258" w:hangingChars="522"/>
    </w:pPr>
    <w:rPr>
      <w:bCs/>
      <w:sz w:val="24"/>
      <w:szCs w:val="32"/>
    </w:rPr>
  </w:style>
  <w:style w:type="paragraph" w:customStyle="1" w:styleId="87">
    <w:name w:val="xl62"/>
    <w:basedOn w:val="1"/>
    <w:autoRedefine/>
    <w:qFormat/>
    <w:uiPriority w:val="0"/>
    <w:pPr>
      <w:widowControl/>
      <w:pBdr>
        <w:top w:val="single" w:color="auto" w:sz="8" w:space="0"/>
        <w:left w:val="single" w:color="auto" w:sz="8"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8">
    <w:name w:val="xl65"/>
    <w:basedOn w:val="1"/>
    <w:autoRedefine/>
    <w:qFormat/>
    <w:uiPriority w:val="0"/>
    <w:pPr>
      <w:widowControl/>
      <w:pBdr>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89">
    <w:name w:val="正文（标记）"/>
    <w:basedOn w:val="1"/>
    <w:autoRedefine/>
    <w:qFormat/>
    <w:uiPriority w:val="0"/>
    <w:pPr>
      <w:tabs>
        <w:tab w:val="left" w:pos="900"/>
      </w:tabs>
      <w:spacing w:before="156" w:beforeLines="50" w:after="156" w:afterLines="50"/>
      <w:ind w:left="900" w:hanging="420"/>
    </w:pPr>
    <w:rPr>
      <w:sz w:val="24"/>
      <w:szCs w:val="24"/>
    </w:rPr>
  </w:style>
  <w:style w:type="paragraph" w:customStyle="1" w:styleId="90">
    <w:name w:val="xl54"/>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91">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3">
    <w:name w:val="Char Char1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94">
    <w:name w:val="font13"/>
    <w:basedOn w:val="1"/>
    <w:autoRedefine/>
    <w:qFormat/>
    <w:uiPriority w:val="0"/>
    <w:pPr>
      <w:widowControl/>
      <w:spacing w:before="100" w:beforeAutospacing="1" w:after="100" w:afterAutospacing="1"/>
      <w:jc w:val="left"/>
    </w:pPr>
    <w:rPr>
      <w:rFonts w:eastAsia="Arial Unicode MS"/>
      <w:i/>
      <w:iCs/>
      <w:color w:val="000000"/>
      <w:kern w:val="0"/>
      <w:szCs w:val="21"/>
    </w:rPr>
  </w:style>
  <w:style w:type="paragraph" w:customStyle="1" w:styleId="95">
    <w:name w:val="文档正文"/>
    <w:basedOn w:val="1"/>
    <w:autoRedefine/>
    <w:qFormat/>
    <w:uiPriority w:val="0"/>
    <w:pPr>
      <w:adjustRightInd w:val="0"/>
      <w:snapToGrid w:val="0"/>
      <w:spacing w:line="360" w:lineRule="atLeast"/>
      <w:ind w:firstLine="567"/>
      <w:jc w:val="left"/>
    </w:pPr>
    <w:rPr>
      <w:rFonts w:hint="eastAsia" w:ascii="宋体"/>
      <w:color w:val="000000"/>
      <w:kern w:val="0"/>
      <w:sz w:val="24"/>
    </w:rPr>
  </w:style>
  <w:style w:type="paragraph" w:customStyle="1" w:styleId="96">
    <w:name w:val="xl42"/>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97">
    <w:name w:val="批注框文本 Char Char"/>
    <w:basedOn w:val="1"/>
    <w:autoRedefine/>
    <w:qFormat/>
    <w:uiPriority w:val="0"/>
    <w:rPr>
      <w:sz w:val="18"/>
    </w:rPr>
  </w:style>
  <w:style w:type="paragraph" w:customStyle="1" w:styleId="98">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99">
    <w:name w:val="xl58"/>
    <w:basedOn w:val="1"/>
    <w:autoRedefine/>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00">
    <w:name w:val="样式 标题 2 + 段前: 1 行 段后: 1 行"/>
    <w:basedOn w:val="3"/>
    <w:autoRedefine/>
    <w:qFormat/>
    <w:uiPriority w:val="0"/>
    <w:pPr>
      <w:tabs>
        <w:tab w:val="left" w:pos="1296"/>
      </w:tabs>
      <w:autoSpaceDE/>
      <w:autoSpaceDN/>
      <w:adjustRightInd/>
      <w:spacing w:before="312" w:beforeLines="100" w:after="312" w:afterLines="100" w:line="360" w:lineRule="auto"/>
      <w:ind w:left="1296" w:hanging="576"/>
      <w:jc w:val="both"/>
    </w:pPr>
    <w:rPr>
      <w:rFonts w:cs="宋体"/>
      <w:bCs/>
      <w:spacing w:val="10"/>
      <w:kern w:val="2"/>
      <w:szCs w:val="30"/>
    </w:rPr>
  </w:style>
  <w:style w:type="paragraph" w:customStyle="1" w:styleId="101">
    <w:name w:val="xl3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olor w:val="FF0000"/>
      <w:kern w:val="0"/>
      <w:sz w:val="20"/>
    </w:rPr>
  </w:style>
  <w:style w:type="paragraph" w:customStyle="1" w:styleId="102">
    <w:name w:val="xl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3">
    <w:name w:val="正文缩进2"/>
    <w:basedOn w:val="12"/>
    <w:autoRedefine/>
    <w:qFormat/>
    <w:uiPriority w:val="0"/>
    <w:pPr>
      <w:tabs>
        <w:tab w:val="left" w:pos="420"/>
      </w:tabs>
      <w:spacing w:after="120" w:line="360" w:lineRule="auto"/>
      <w:ind w:left="420" w:hanging="420" w:firstLineChars="0"/>
    </w:pPr>
    <w:rPr>
      <w:sz w:val="24"/>
    </w:rPr>
  </w:style>
  <w:style w:type="paragraph" w:customStyle="1" w:styleId="104">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10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06">
    <w:name w:val="xl6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108">
    <w:name w:val="text5"/>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09">
    <w:name w:val="Char Char Char"/>
    <w:basedOn w:val="1"/>
    <w:autoRedefine/>
    <w:qFormat/>
    <w:uiPriority w:val="0"/>
    <w:rPr>
      <w:rFonts w:ascii="Tahoma" w:hAnsi="Tahoma"/>
      <w:sz w:val="24"/>
    </w:rPr>
  </w:style>
  <w:style w:type="paragraph" w:customStyle="1" w:styleId="110">
    <w:name w:val="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11">
    <w:name w:val="默认段落字体 Para Char Char Char Char Char Char Char Char Char1 Char Char Char Char Char Char Char"/>
    <w:basedOn w:val="1"/>
    <w:autoRedefine/>
    <w:qFormat/>
    <w:uiPriority w:val="0"/>
    <w:rPr>
      <w:b/>
      <w:bCs/>
      <w:sz w:val="36"/>
      <w:szCs w:val="32"/>
    </w:rPr>
  </w:style>
  <w:style w:type="paragraph" w:customStyle="1" w:styleId="112">
    <w:name w:val="font8"/>
    <w:basedOn w:val="1"/>
    <w:autoRedefine/>
    <w:qFormat/>
    <w:uiPriority w:val="0"/>
    <w:pPr>
      <w:widowControl/>
      <w:spacing w:before="100" w:beforeAutospacing="1" w:after="100" w:afterAutospacing="1"/>
      <w:jc w:val="left"/>
    </w:pPr>
    <w:rPr>
      <w:rFonts w:hint="eastAsia" w:ascii="宋体" w:hAnsi="宋体" w:cs="Arial Unicode MS"/>
      <w:color w:val="000000"/>
      <w:kern w:val="0"/>
      <w:sz w:val="20"/>
    </w:rPr>
  </w:style>
  <w:style w:type="paragraph" w:customStyle="1" w:styleId="113">
    <w:name w:val="正文（首行缩进）"/>
    <w:basedOn w:val="1"/>
    <w:autoRedefine/>
    <w:qFormat/>
    <w:uiPriority w:val="0"/>
    <w:pPr>
      <w:adjustRightInd w:val="0"/>
      <w:spacing w:line="360" w:lineRule="auto"/>
      <w:ind w:firstLine="200" w:firstLineChars="200"/>
      <w:textAlignment w:val="baseline"/>
    </w:pPr>
    <w:rPr>
      <w:rFonts w:eastAsia="仿宋_GB2312"/>
      <w:sz w:val="24"/>
    </w:rPr>
  </w:style>
  <w:style w:type="paragraph" w:customStyle="1" w:styleId="114">
    <w:name w:val="Char1"/>
    <w:basedOn w:val="1"/>
    <w:autoRedefine/>
    <w:qFormat/>
    <w:uiPriority w:val="0"/>
    <w:pPr>
      <w:tabs>
        <w:tab w:val="left" w:pos="420"/>
      </w:tabs>
      <w:ind w:left="420" w:hanging="420"/>
    </w:pPr>
    <w:rPr>
      <w:rFonts w:ascii="Tahoma" w:hAnsi="Tahoma" w:cs="Tahoma"/>
      <w:sz w:val="28"/>
      <w:szCs w:val="28"/>
    </w:rPr>
  </w:style>
  <w:style w:type="paragraph" w:customStyle="1" w:styleId="115">
    <w:name w:val="xl3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116">
    <w:name w:val="xl43"/>
    <w:basedOn w:val="1"/>
    <w:autoRedefine/>
    <w:qFormat/>
    <w:uiPriority w:val="0"/>
    <w:pPr>
      <w:widowControl/>
      <w:pBdr>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0"/>
    </w:rPr>
  </w:style>
  <w:style w:type="paragraph" w:customStyle="1" w:styleId="117">
    <w:name w:val="xl28"/>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rPr>
  </w:style>
  <w:style w:type="paragraph" w:customStyle="1" w:styleId="118">
    <w:name w:val="正文（标记） Char"/>
    <w:basedOn w:val="1"/>
    <w:autoRedefine/>
    <w:qFormat/>
    <w:uiPriority w:val="0"/>
    <w:pPr>
      <w:tabs>
        <w:tab w:val="left" w:pos="840"/>
      </w:tabs>
      <w:spacing w:before="156" w:beforeLines="50" w:after="156" w:afterLines="50"/>
      <w:ind w:left="840" w:hanging="420"/>
    </w:pPr>
    <w:rPr>
      <w:sz w:val="24"/>
      <w:szCs w:val="24"/>
    </w:rPr>
  </w:style>
  <w:style w:type="paragraph" w:customStyle="1" w:styleId="119">
    <w:name w:val="xl4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0"/>
    </w:rPr>
  </w:style>
  <w:style w:type="paragraph" w:customStyle="1" w:styleId="120">
    <w:name w:val="font7"/>
    <w:basedOn w:val="1"/>
    <w:autoRedefine/>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121">
    <w:name w:val="List Paragraph1"/>
    <w:basedOn w:val="1"/>
    <w:autoRedefine/>
    <w:qFormat/>
    <w:uiPriority w:val="0"/>
    <w:pPr>
      <w:ind w:firstLine="420" w:firstLineChars="200"/>
    </w:pPr>
    <w:rPr>
      <w:rFonts w:ascii="Calibri" w:hAnsi="Calibri"/>
      <w:szCs w:val="22"/>
    </w:rPr>
  </w:style>
  <w:style w:type="paragraph" w:customStyle="1" w:styleId="122">
    <w:name w:val="prop1"/>
    <w:basedOn w:val="5"/>
    <w:autoRedefine/>
    <w:qFormat/>
    <w:uiPriority w:val="0"/>
    <w:pPr>
      <w:numPr>
        <w:ilvl w:val="0"/>
        <w:numId w:val="3"/>
      </w:numPr>
      <w:spacing w:line="360" w:lineRule="auto"/>
    </w:pPr>
    <w:rPr>
      <w:bCs w:val="0"/>
      <w:szCs w:val="20"/>
    </w:rPr>
  </w:style>
  <w:style w:type="paragraph" w:customStyle="1" w:styleId="123">
    <w:name w:val="font15"/>
    <w:basedOn w:val="1"/>
    <w:autoRedefine/>
    <w:qFormat/>
    <w:uiPriority w:val="0"/>
    <w:pPr>
      <w:widowControl/>
      <w:spacing w:before="100" w:beforeAutospacing="1" w:after="100" w:afterAutospacing="1"/>
      <w:jc w:val="left"/>
    </w:pPr>
    <w:rPr>
      <w:rFonts w:hint="eastAsia" w:ascii="宋体" w:hAnsi="宋体" w:cs="Arial Unicode MS"/>
      <w:i/>
      <w:iCs/>
      <w:kern w:val="0"/>
      <w:szCs w:val="21"/>
    </w:rPr>
  </w:style>
  <w:style w:type="paragraph" w:customStyle="1" w:styleId="124">
    <w:name w:val="xl4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125">
    <w:name w:val="xl4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126">
    <w:name w:val="正文2"/>
    <w:basedOn w:val="1"/>
    <w:autoRedefine/>
    <w:qFormat/>
    <w:uiPriority w:val="0"/>
    <w:pPr>
      <w:tabs>
        <w:tab w:val="left" w:pos="900"/>
      </w:tabs>
      <w:spacing w:line="360" w:lineRule="auto"/>
      <w:ind w:firstLine="480" w:firstLineChars="200"/>
    </w:pPr>
    <w:rPr>
      <w:rFonts w:ascii="宋体"/>
      <w:color w:val="000000"/>
      <w:sz w:val="24"/>
    </w:rPr>
  </w:style>
  <w:style w:type="paragraph" w:customStyle="1" w:styleId="127">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28">
    <w:name w:val="font12"/>
    <w:basedOn w:val="1"/>
    <w:autoRedefine/>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xl63"/>
    <w:basedOn w:val="1"/>
    <w:autoRedefine/>
    <w:qFormat/>
    <w:uiPriority w:val="0"/>
    <w:pPr>
      <w:widowControl/>
      <w:pBdr>
        <w:top w:val="single" w:color="auto" w:sz="8" w:space="0"/>
        <w:left w:val="single" w:color="auto" w:sz="4"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kern w:val="0"/>
      <w:sz w:val="20"/>
    </w:rPr>
  </w:style>
  <w:style w:type="paragraph" w:customStyle="1" w:styleId="130">
    <w:name w:val="xl4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1">
    <w:name w:val="my正文"/>
    <w:basedOn w:val="18"/>
    <w:autoRedefine/>
    <w:qFormat/>
    <w:uiPriority w:val="0"/>
    <w:pPr>
      <w:adjustRightInd w:val="0"/>
      <w:snapToGrid/>
      <w:spacing w:line="360" w:lineRule="auto"/>
      <w:ind w:firstLine="225" w:firstLineChars="225"/>
      <w:textAlignment w:val="baseline"/>
    </w:pPr>
    <w:rPr>
      <w:rFonts w:hint="eastAsia" w:ascii="宋体"/>
      <w:sz w:val="24"/>
    </w:rPr>
  </w:style>
  <w:style w:type="paragraph" w:customStyle="1" w:styleId="132">
    <w:name w:val="xl3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133">
    <w:name w:val="xl52"/>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4">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5">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6">
    <w:name w:val="xl60"/>
    <w:basedOn w:val="1"/>
    <w:autoRedefine/>
    <w:qFormat/>
    <w:uiPriority w:val="0"/>
    <w:pPr>
      <w:widowControl/>
      <w:pBdr>
        <w:top w:val="single" w:color="auto" w:sz="4"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137">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8">
    <w:name w:val="正文1"/>
    <w:autoRedefine/>
    <w:qFormat/>
    <w:uiPriority w:val="0"/>
    <w:pPr>
      <w:adjustRightInd w:val="0"/>
      <w:jc w:val="center"/>
      <w:textAlignment w:val="baseline"/>
    </w:pPr>
    <w:rPr>
      <w:rFonts w:ascii="Times New Roman" w:hAnsi="Times New Roman" w:eastAsia="宋体" w:cs="Times New Roman"/>
      <w:kern w:val="28"/>
      <w:sz w:val="21"/>
      <w:lang w:val="en-US" w:eastAsia="zh-CN" w:bidi="ar-SA"/>
    </w:rPr>
  </w:style>
  <w:style w:type="paragraph" w:customStyle="1" w:styleId="139">
    <w:name w:val="Char1 Char Char"/>
    <w:basedOn w:val="1"/>
    <w:autoRedefine/>
    <w:qFormat/>
    <w:uiPriority w:val="0"/>
    <w:pPr>
      <w:tabs>
        <w:tab w:val="left" w:pos="420"/>
      </w:tabs>
      <w:ind w:left="420" w:hanging="420"/>
    </w:pPr>
    <w:rPr>
      <w:rFonts w:ascii="Tahoma" w:hAnsi="Tahoma" w:cs="Tahoma"/>
      <w:sz w:val="28"/>
      <w:szCs w:val="28"/>
    </w:rPr>
  </w:style>
  <w:style w:type="paragraph" w:customStyle="1" w:styleId="140">
    <w:name w:val="xl48"/>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4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42">
    <w:name w:val="Char"/>
    <w:basedOn w:val="1"/>
    <w:autoRedefine/>
    <w:qFormat/>
    <w:uiPriority w:val="0"/>
    <w:pPr>
      <w:tabs>
        <w:tab w:val="left" w:pos="360"/>
      </w:tabs>
      <w:ind w:left="360" w:hanging="360" w:hangingChars="200"/>
    </w:pPr>
    <w:rPr>
      <w:sz w:val="24"/>
      <w:szCs w:val="24"/>
    </w:rPr>
  </w:style>
  <w:style w:type="paragraph" w:customStyle="1" w:styleId="143">
    <w:name w:val="Char Char Char Char1"/>
    <w:basedOn w:val="1"/>
    <w:autoRedefine/>
    <w:qFormat/>
    <w:uiPriority w:val="0"/>
    <w:pPr>
      <w:tabs>
        <w:tab w:val="left" w:pos="420"/>
      </w:tabs>
      <w:ind w:left="420" w:hanging="420"/>
    </w:pPr>
    <w:rPr>
      <w:rFonts w:ascii="Tahoma" w:hAnsi="Tahoma" w:cs="Tahoma"/>
      <w:sz w:val="28"/>
      <w:szCs w:val="28"/>
    </w:rPr>
  </w:style>
  <w:style w:type="paragraph" w:customStyle="1" w:styleId="144">
    <w:name w:val="题目项目"/>
    <w:basedOn w:val="1"/>
    <w:autoRedefine/>
    <w:qFormat/>
    <w:uiPriority w:val="0"/>
    <w:pPr>
      <w:numPr>
        <w:ilvl w:val="0"/>
        <w:numId w:val="4"/>
      </w:numPr>
      <w:tabs>
        <w:tab w:val="left" w:pos="885"/>
        <w:tab w:val="clear" w:pos="502"/>
      </w:tabs>
      <w:spacing w:before="312" w:after="156"/>
    </w:pPr>
  </w:style>
  <w:style w:type="paragraph" w:customStyle="1" w:styleId="145">
    <w:name w:val="xl2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20"/>
    </w:rPr>
  </w:style>
  <w:style w:type="paragraph" w:customStyle="1" w:styleId="146">
    <w:name w:val="样式 仿宋_GB2312 行距: 1.5 倍行距"/>
    <w:basedOn w:val="1"/>
    <w:autoRedefine/>
    <w:qFormat/>
    <w:uiPriority w:val="0"/>
    <w:pPr>
      <w:adjustRightInd w:val="0"/>
      <w:snapToGrid w:val="0"/>
      <w:spacing w:line="520" w:lineRule="exact"/>
      <w:ind w:firstLine="560" w:firstLineChars="200"/>
    </w:pPr>
    <w:rPr>
      <w:rFonts w:eastAsia="仿宋_GB2312"/>
      <w:sz w:val="28"/>
    </w:rPr>
  </w:style>
  <w:style w:type="paragraph" w:styleId="147">
    <w:name w:val="List Paragraph"/>
    <w:basedOn w:val="1"/>
    <w:autoRedefine/>
    <w:qFormat/>
    <w:uiPriority w:val="99"/>
    <w:pPr>
      <w:ind w:firstLine="420" w:firstLineChars="200"/>
    </w:pPr>
  </w:style>
  <w:style w:type="character" w:customStyle="1" w:styleId="148">
    <w:name w:val="标题 1 字符"/>
    <w:autoRedefine/>
    <w:qFormat/>
    <w:uiPriority w:val="0"/>
    <w:rPr>
      <w:rFonts w:ascii="宋体" w:hAnsi="宋体" w:eastAsia="宋体"/>
      <w:b/>
      <w:kern w:val="44"/>
      <w:sz w:val="24"/>
    </w:rPr>
  </w:style>
  <w:style w:type="character" w:customStyle="1" w:styleId="149">
    <w:name w:val="标题 2 Char"/>
    <w:link w:val="3"/>
    <w:autoRedefine/>
    <w:qFormat/>
    <w:uiPriority w:val="0"/>
    <w:rPr>
      <w:rFonts w:ascii="Arial" w:hAnsi="Arial" w:eastAsia="黑体"/>
      <w:b/>
      <w:sz w:val="30"/>
      <w:lang w:val="en-US" w:eastAsia="zh-CN" w:bidi="ar-SA"/>
    </w:rPr>
  </w:style>
  <w:style w:type="character" w:customStyle="1" w:styleId="150">
    <w:name w:val="标题 4 Char"/>
    <w:link w:val="5"/>
    <w:autoRedefine/>
    <w:qFormat/>
    <w:uiPriority w:val="0"/>
    <w:rPr>
      <w:rFonts w:ascii="Arial" w:hAnsi="Arial" w:eastAsia="黑体"/>
      <w:b/>
      <w:bCs/>
      <w:kern w:val="2"/>
      <w:sz w:val="28"/>
      <w:szCs w:val="28"/>
      <w:lang w:val="en-US" w:eastAsia="zh-CN" w:bidi="ar-SA"/>
    </w:rPr>
  </w:style>
  <w:style w:type="character" w:customStyle="1" w:styleId="151">
    <w:name w:val="my正文 Char"/>
    <w:autoRedefine/>
    <w:qFormat/>
    <w:uiPriority w:val="0"/>
    <w:rPr>
      <w:rFonts w:hint="eastAsia" w:ascii="宋体" w:eastAsia="宋体"/>
      <w:sz w:val="24"/>
      <w:lang w:val="en-US" w:eastAsia="zh-CN"/>
    </w:rPr>
  </w:style>
  <w:style w:type="character" w:customStyle="1" w:styleId="152">
    <w:name w:val="页脚 Char"/>
    <w:link w:val="26"/>
    <w:autoRedefine/>
    <w:qFormat/>
    <w:uiPriority w:val="0"/>
    <w:rPr>
      <w:rFonts w:eastAsia="宋体"/>
      <w:sz w:val="18"/>
      <w:lang w:val="en-US" w:eastAsia="zh-CN" w:bidi="ar-SA"/>
    </w:rPr>
  </w:style>
  <w:style w:type="character" w:customStyle="1" w:styleId="153">
    <w:name w:val="正文（缩进） Char Char"/>
    <w:link w:val="53"/>
    <w:autoRedefine/>
    <w:qFormat/>
    <w:uiPriority w:val="0"/>
    <w:rPr>
      <w:rFonts w:eastAsia="宋体"/>
      <w:kern w:val="2"/>
      <w:sz w:val="24"/>
      <w:szCs w:val="24"/>
      <w:lang w:val="en-US" w:eastAsia="zh-CN" w:bidi="ar-SA"/>
    </w:rPr>
  </w:style>
  <w:style w:type="character" w:customStyle="1" w:styleId="154">
    <w:name w:val="标题2 Char"/>
    <w:autoRedefine/>
    <w:qFormat/>
    <w:uiPriority w:val="0"/>
    <w:rPr>
      <w:rFonts w:ascii="Arial" w:hAnsi="Arial" w:eastAsia="黑体"/>
      <w:b/>
      <w:sz w:val="28"/>
      <w:szCs w:val="28"/>
      <w:lang w:val="en-US" w:eastAsia="zh-CN" w:bidi="ar-SA"/>
    </w:rPr>
  </w:style>
  <w:style w:type="character" w:customStyle="1" w:styleId="155">
    <w:name w:val="标题 1 Char"/>
    <w:autoRedefine/>
    <w:qFormat/>
    <w:uiPriority w:val="0"/>
    <w:rPr>
      <w:rFonts w:ascii="Arial" w:hAnsi="Arial" w:eastAsia="黑体" w:cs="Arial"/>
      <w:bCs/>
      <w:color w:val="000000"/>
      <w:sz w:val="36"/>
      <w:szCs w:val="30"/>
      <w:lang w:val="en-US" w:eastAsia="zh-CN" w:bidi="ar-SA"/>
    </w:rPr>
  </w:style>
  <w:style w:type="character" w:customStyle="1" w:styleId="156">
    <w:name w:val="p12"/>
    <w:basedOn w:val="45"/>
    <w:autoRedefine/>
    <w:qFormat/>
    <w:uiPriority w:val="0"/>
  </w:style>
  <w:style w:type="character" w:customStyle="1" w:styleId="157">
    <w:name w:val="正文缩进 Char"/>
    <w:link w:val="12"/>
    <w:autoRedefine/>
    <w:qFormat/>
    <w:uiPriority w:val="0"/>
    <w:rPr>
      <w:rFonts w:eastAsia="宋体"/>
      <w:kern w:val="2"/>
      <w:sz w:val="21"/>
      <w:lang w:val="en-US" w:eastAsia="zh-CN" w:bidi="ar-SA"/>
    </w:rPr>
  </w:style>
  <w:style w:type="character" w:customStyle="1" w:styleId="158">
    <w:name w:val="正文（缩进） Char1"/>
    <w:link w:val="54"/>
    <w:autoRedefine/>
    <w:qFormat/>
    <w:uiPriority w:val="0"/>
    <w:rPr>
      <w:rFonts w:eastAsia="宋体"/>
      <w:kern w:val="2"/>
      <w:sz w:val="24"/>
      <w:szCs w:val="24"/>
      <w:lang w:val="en-US" w:eastAsia="zh-CN" w:bidi="ar-SA"/>
    </w:rPr>
  </w:style>
  <w:style w:type="character" w:customStyle="1" w:styleId="159">
    <w:name w:val="f101"/>
    <w:autoRedefine/>
    <w:qFormat/>
    <w:uiPriority w:val="0"/>
    <w:rPr>
      <w:sz w:val="21"/>
      <w:szCs w:val="21"/>
    </w:rPr>
  </w:style>
  <w:style w:type="character" w:customStyle="1" w:styleId="160">
    <w:name w:val="纯文本 Char"/>
    <w:link w:val="21"/>
    <w:autoRedefine/>
    <w:qFormat/>
    <w:uiPriority w:val="0"/>
    <w:rPr>
      <w:rFonts w:ascii="宋体" w:hAnsi="Courier New" w:eastAsia="宋体"/>
      <w:kern w:val="2"/>
      <w:sz w:val="21"/>
      <w:lang w:val="en-US" w:eastAsia="zh-CN" w:bidi="ar-SA"/>
    </w:rPr>
  </w:style>
  <w:style w:type="character" w:customStyle="1" w:styleId="161">
    <w:name w:val="正文文本缩进 Char"/>
    <w:link w:val="18"/>
    <w:autoRedefine/>
    <w:qFormat/>
    <w:uiPriority w:val="0"/>
    <w:rPr>
      <w:rFonts w:eastAsia="仿宋_GB2312"/>
      <w:kern w:val="2"/>
      <w:sz w:val="28"/>
    </w:rPr>
  </w:style>
  <w:style w:type="character" w:customStyle="1" w:styleId="162">
    <w:name w:val="Text Char Char Char"/>
    <w:link w:val="55"/>
    <w:autoRedefine/>
    <w:qFormat/>
    <w:uiPriority w:val="0"/>
    <w:rPr>
      <w:rFonts w:eastAsia="宋体"/>
      <w:sz w:val="24"/>
      <w:lang w:val="en-US" w:eastAsia="en-US" w:bidi="ar-SA"/>
    </w:rPr>
  </w:style>
  <w:style w:type="paragraph" w:customStyle="1" w:styleId="163">
    <w:name w:val="WPSOffice手动目录 1"/>
    <w:autoRedefine/>
    <w:qFormat/>
    <w:uiPriority w:val="0"/>
    <w:rPr>
      <w:rFonts w:ascii="Times New Roman" w:hAnsi="Times New Roman" w:eastAsia="宋体" w:cs="Times New Roman"/>
      <w:lang w:val="en-US" w:eastAsia="zh-CN" w:bidi="ar-SA"/>
    </w:rPr>
  </w:style>
  <w:style w:type="character" w:customStyle="1" w:styleId="164">
    <w:name w:val="标题 1 Char1"/>
    <w:link w:val="2"/>
    <w:autoRedefine/>
    <w:qFormat/>
    <w:uiPriority w:val="0"/>
    <w:rPr>
      <w:rFonts w:ascii="宋体"/>
      <w:b/>
      <w:kern w:val="44"/>
      <w:sz w:val="32"/>
      <w:szCs w:val="20"/>
    </w:rPr>
  </w:style>
  <w:style w:type="character" w:customStyle="1" w:styleId="165">
    <w:name w:val="标题 3 Char"/>
    <w:link w:val="4"/>
    <w:autoRedefine/>
    <w:qFormat/>
    <w:uiPriority w:val="0"/>
    <w:rPr>
      <w:b/>
      <w:sz w:val="32"/>
    </w:rPr>
  </w:style>
  <w:style w:type="paragraph" w:customStyle="1" w:styleId="166">
    <w:name w:val="无间隔1"/>
    <w:autoRedefine/>
    <w:qFormat/>
    <w:uiPriority w:val="1"/>
    <w:pPr>
      <w:widowControl w:val="0"/>
      <w:spacing w:line="380" w:lineRule="exact"/>
      <w:jc w:val="both"/>
    </w:pPr>
    <w:rPr>
      <w:rFonts w:ascii="Arial" w:hAnsi="Arial"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业务二处</Company>
  <Pages>13</Pages>
  <Words>7646</Words>
  <Characters>8045</Characters>
  <Lines>273</Lines>
  <Paragraphs>77</Paragraphs>
  <TotalTime>0</TotalTime>
  <ScaleCrop>false</ScaleCrop>
  <LinksUpToDate>false</LinksUpToDate>
  <CharactersWithSpaces>8054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2025-04-09T02:00:00Z</dcterms:created>
  <dc:creator>yangxiaojing</dc:creator>
  <cp:lastModifiedBy>蓉蓉</cp:lastModifiedBy>
  <cp:lastPrinted>2025-05-23T08:02:00Z</cp:lastPrinted>
  <dcterms:modified xsi:type="dcterms:W3CDTF">2025-06-03T08:01:59Z</dcterms:modified>
  <dc:title>竞争性谈判文件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KSOProductBuildVer">
    <vt:lpwstr>2052-12.1.0.20784</vt:lpwstr>
  </property>
  <property fmtid="{D5CDD505-2E9C-101B-9397-08002B2CF9AE}" pid="4" name="ICV">
    <vt:lpwstr>8BB3EA9860A84E0B83001580602800CC</vt:lpwstr>
  </property>
  <property fmtid="{D5CDD505-2E9C-101B-9397-08002B2CF9AE}" pid="5" name="KSOTemplateDocerSaveRecord">
    <vt:lpwstr>eyJoZGlkIjoiMmVjY2ViOTAxNmY4Zjg4NmNiY2JmNTQ3NjhkZGQyYTUiLCJ1c2VySWQiOiI0MDgyMzEzMzEifQ==</vt:lpwstr>
  </property>
</Properties>
</file>