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CB1996">
      <w:pPr>
        <w:pStyle w:val="2"/>
        <w:rPr>
          <w:rFonts w:hint="eastAsia" w:ascii="仿宋_GB2312" w:hAnsi="仿宋_GB2312" w:eastAsia="仿宋_GB2312" w:cs="仿宋_GB2312"/>
        </w:rPr>
      </w:pPr>
      <w:bookmarkStart w:id="0" w:name="_top"/>
      <w:bookmarkEnd w:id="0"/>
      <w:bookmarkStart w:id="1" w:name="_Toc3421"/>
      <w:r>
        <w:rPr>
          <w:rFonts w:hint="eastAsia" w:ascii="仿宋_GB2312" w:hAnsi="仿宋_GB2312" w:eastAsia="仿宋_GB2312" w:cs="仿宋_GB2312"/>
          <w:sz w:val="24"/>
        </w:rPr>
        <w:t>帆海融光——天津博物馆藏中国外销纹章瓷器特展（暂定名）项目</w:t>
      </w:r>
    </w:p>
    <w:p w14:paraId="47AF4EE9">
      <w:pPr>
        <w:pStyle w:val="2"/>
        <w:rPr>
          <w:rFonts w:ascii="仿宋_GB2312" w:hAnsi="仿宋_GB2312" w:eastAsia="仿宋_GB2312" w:cs="仿宋_GB2312"/>
        </w:rPr>
      </w:pPr>
      <w:r>
        <w:rPr>
          <w:rFonts w:hint="eastAsia" w:ascii="仿宋_GB2312" w:hAnsi="仿宋_GB2312" w:eastAsia="仿宋_GB2312" w:cs="仿宋_GB2312"/>
        </w:rPr>
        <w:t>服务要求</w:t>
      </w:r>
      <w:bookmarkEnd w:id="1"/>
      <w:bookmarkStart w:id="10" w:name="_GoBack"/>
      <w:bookmarkEnd w:id="10"/>
      <w:bookmarkStart w:id="2" w:name="第四部分"/>
      <w:bookmarkStart w:id="3" w:name="_Toc4431_WPSOffice_Level1"/>
      <w:bookmarkStart w:id="4" w:name="_Toc18362"/>
      <w:bookmarkStart w:id="5" w:name="_Toc3724_WPSOffice_Level1"/>
      <w:bookmarkStart w:id="6" w:name="_Toc8398"/>
      <w:bookmarkStart w:id="7" w:name="_Toc28569"/>
      <w:bookmarkStart w:id="8" w:name="_Toc14251"/>
      <w:bookmarkStart w:id="9" w:name="_Toc2681"/>
    </w:p>
    <w:p w14:paraId="6162EFFC">
      <w:pPr>
        <w:spacing w:line="360" w:lineRule="auto"/>
        <w:jc w:val="center"/>
        <w:rPr>
          <w:rFonts w:ascii="仿宋_GB2312" w:hAnsi="仿宋_GB2312" w:eastAsia="仿宋_GB2312" w:cs="仿宋_GB2312"/>
          <w:b/>
          <w:sz w:val="32"/>
        </w:rPr>
      </w:pPr>
      <w:r>
        <w:rPr>
          <w:rFonts w:hint="eastAsia" w:ascii="仿宋_GB2312" w:hAnsi="仿宋_GB2312" w:eastAsia="仿宋_GB2312" w:cs="仿宋_GB2312"/>
          <w:sz w:val="24"/>
        </w:rPr>
        <w:t>（如本章内容与遴选文件其它章节内容有冲突，应以本部分内容为准。）</w:t>
      </w:r>
    </w:p>
    <w:p w14:paraId="58614F16"/>
    <w:p w14:paraId="03E6148A">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一、项目概况</w:t>
      </w:r>
    </w:p>
    <w:p w14:paraId="08AC6B17">
      <w:pPr>
        <w:spacing w:line="360" w:lineRule="auto"/>
        <w:ind w:firstLine="480"/>
        <w:jc w:val="left"/>
        <w:rPr>
          <w:rFonts w:ascii="仿宋_GB2312" w:hAnsi="仿宋_GB2312" w:eastAsia="仿宋_GB2312" w:cs="仿宋_GB2312"/>
          <w:sz w:val="24"/>
        </w:rPr>
      </w:pPr>
      <w:r>
        <w:rPr>
          <w:rFonts w:hint="eastAsia" w:ascii="仿宋_GB2312" w:hAnsi="仿宋_GB2312" w:eastAsia="仿宋_GB2312" w:cs="仿宋_GB2312"/>
          <w:sz w:val="24"/>
        </w:rPr>
        <w:t>2014年，中央提出京津冀协同发展战略，京津冀三地作为一个整体协同发展。首都博物馆与天津博物馆、河北博物院积极响应国家重大战略决策，推动公共服务共建共享，陆续推出一系列联合举办展览、科研、出版项目，形成三地博物馆优势互补、互利共赢的协同发展新格局。北京大运河博物馆（首都博物馆东馆）位于城市副中心，是推动京津冀协同发展中公共服务共建共享的重要平台。据此采购人拟引进天津博物馆推介“帆海融光——天津博物馆藏中国外销纹章瓷器特展”。该展览为文物展，通过展示138件套清代外销纹章瓷器精品，展现中外文化互鉴、交流、融合，同时更好领略“一带一路”战略构想的伟大创举。展览由首都博物馆、天津博物馆主办，首都博物馆承办。拟在北京大运河博物馆（首都博物馆东馆）京津冀主题厅12号厅展出，展示面积740平方米。</w:t>
      </w:r>
    </w:p>
    <w:p w14:paraId="00EF542C">
      <w:pPr>
        <w:spacing w:line="360" w:lineRule="auto"/>
        <w:ind w:firstLine="480"/>
        <w:jc w:val="left"/>
        <w:rPr>
          <w:rFonts w:ascii="仿宋_GB2312" w:hAnsi="仿宋_GB2312" w:eastAsia="仿宋_GB2312" w:cs="仿宋_GB2312"/>
          <w:sz w:val="24"/>
        </w:rPr>
      </w:pPr>
    </w:p>
    <w:p w14:paraId="39B50089">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二、商务条件</w:t>
      </w:r>
    </w:p>
    <w:p w14:paraId="1816373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1、服务期限：自合</w:t>
      </w:r>
      <w:r>
        <w:rPr>
          <w:rFonts w:hint="eastAsia" w:ascii="仿宋_GB2312" w:hAnsi="仿宋_GB2312" w:eastAsia="仿宋_GB2312" w:cs="仿宋_GB2312"/>
          <w:color w:val="auto"/>
          <w:sz w:val="24"/>
        </w:rPr>
        <w:t>同签定之日起开始进行展览设计制作工作，于2025年10月28日前完成制作布展并通过验收，2026年2月28日展览结束后7日内全部撤展完成，展厅恢复原状。以上开闭展日期为预计时间，具体按</w:t>
      </w:r>
      <w:r>
        <w:rPr>
          <w:rFonts w:hint="eastAsia" w:ascii="仿宋_GB2312" w:hAnsi="仿宋_GB2312" w:eastAsia="仿宋_GB2312" w:cs="仿宋_GB2312"/>
          <w:sz w:val="24"/>
        </w:rPr>
        <w:t>采购人要求。</w:t>
      </w:r>
    </w:p>
    <w:p w14:paraId="07DC684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2、服务地点：北京大运河博物馆（首都博物馆东馆）京津冀主题厅12号厅</w:t>
      </w:r>
    </w:p>
    <w:p w14:paraId="3F310794">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3、支付方式：</w:t>
      </w:r>
    </w:p>
    <w:p w14:paraId="35E50339">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合同签订生效后10个工作日内，供应商向采购人支付合同金额10%的履约保证金（</w:t>
      </w:r>
      <w:r>
        <w:rPr>
          <w:rFonts w:hint="eastAsia" w:ascii="仿宋_GB2312" w:hAnsi="仿宋_GB2312" w:eastAsia="仿宋_GB2312" w:cs="仿宋_GB2312"/>
          <w:sz w:val="24"/>
          <w:szCs w:val="24"/>
        </w:rPr>
        <w:t>履约保证金可以支票、汇票、本票、保函等方式进行提交</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w:t>
      </w:r>
    </w:p>
    <w:p w14:paraId="347DCF9C">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采购人在财政资金到位后10个工作日内支付供应商50%合同款；</w:t>
      </w:r>
    </w:p>
    <w:p w14:paraId="0A6C08F3">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布展</w:t>
      </w:r>
      <w:r>
        <w:rPr>
          <w:rFonts w:hint="eastAsia" w:ascii="仿宋_GB2312" w:hAnsi="仿宋_GB2312" w:eastAsia="仿宋_GB2312" w:cs="仿宋_GB2312"/>
          <w:sz w:val="24"/>
        </w:rPr>
        <w:t>完成并验收合格之日，且采购人财政资金到位后10个工作日内，采购人向供应商支付</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%合同款</w:t>
      </w:r>
      <w:r>
        <w:rPr>
          <w:rFonts w:hint="eastAsia" w:ascii="仿宋_GB2312" w:hAnsi="仿宋_GB2312" w:eastAsia="仿宋_GB2312" w:cs="仿宋_GB2312"/>
          <w:sz w:val="24"/>
          <w:lang w:eastAsia="zh-CN"/>
        </w:rPr>
        <w:t>；</w:t>
      </w:r>
    </w:p>
    <w:p w14:paraId="7765DE08">
      <w:pPr>
        <w:spacing w:line="360" w:lineRule="auto"/>
        <w:ind w:firstLine="480" w:firstLineChars="200"/>
        <w:jc w:val="left"/>
        <w:rPr>
          <w:rFonts w:hint="eastAsia" w:ascii="仿宋" w:hAnsi="仿宋" w:eastAsia="仿宋_GB2312" w:cs="仿宋_GB2312"/>
          <w:sz w:val="24"/>
          <w:lang w:eastAsia="zh-CN"/>
        </w:rPr>
      </w:pPr>
      <w:r>
        <w:rPr>
          <w:rFonts w:hint="eastAsia" w:ascii="仿宋_GB2312" w:hAnsi="仿宋_GB2312" w:eastAsia="仿宋_GB2312" w:cs="仿宋_GB2312"/>
          <w:sz w:val="24"/>
          <w:lang w:val="en-US" w:eastAsia="zh-CN"/>
        </w:rPr>
        <w:t>展品撤场后拆除并清理复原完毕，</w:t>
      </w:r>
      <w:r>
        <w:rPr>
          <w:rFonts w:hint="eastAsia" w:ascii="仿宋_GB2312" w:hAnsi="仿宋_GB2312" w:eastAsia="仿宋_GB2312" w:cs="仿宋_GB2312"/>
          <w:sz w:val="24"/>
        </w:rPr>
        <w:t>且采购人财政资金到位后10个工作日内，采购人向供应商支付</w:t>
      </w:r>
      <w:r>
        <w:rPr>
          <w:rFonts w:hint="eastAsia" w:ascii="仿宋_GB2312" w:hAnsi="仿宋_GB2312" w:eastAsia="仿宋_GB2312" w:cs="仿宋_GB2312"/>
          <w:sz w:val="24"/>
          <w:lang w:val="en-US" w:eastAsia="zh-CN"/>
        </w:rPr>
        <w:t>剩余</w:t>
      </w:r>
      <w:r>
        <w:rPr>
          <w:rFonts w:hint="eastAsia" w:ascii="仿宋_GB2312" w:hAnsi="仿宋_GB2312" w:eastAsia="仿宋_GB2312" w:cs="仿宋_GB2312"/>
          <w:sz w:val="24"/>
        </w:rPr>
        <w:t>合同款</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如整个服务期</w:t>
      </w:r>
      <w:r>
        <w:rPr>
          <w:rFonts w:hint="eastAsia" w:ascii="仿宋_GB2312" w:hAnsi="仿宋_GB2312" w:eastAsia="仿宋_GB2312" w:cs="仿宋_GB2312"/>
          <w:sz w:val="24"/>
        </w:rPr>
        <w:t>无任何质量问题发生，且没有因为供应商违约导致扣款的，采购人</w:t>
      </w:r>
      <w:r>
        <w:rPr>
          <w:rFonts w:hint="eastAsia" w:ascii="仿宋_GB2312" w:hAnsi="仿宋_GB2312" w:eastAsia="仿宋_GB2312" w:cs="仿宋_GB2312"/>
          <w:sz w:val="24"/>
          <w:lang w:val="en-US" w:eastAsia="zh-CN"/>
        </w:rPr>
        <w:t>同时无息退还供应商的</w:t>
      </w:r>
      <w:r>
        <w:rPr>
          <w:rFonts w:hint="eastAsia" w:ascii="仿宋_GB2312" w:hAnsi="仿宋_GB2312" w:eastAsia="仿宋_GB2312" w:cs="仿宋_GB2312"/>
          <w:sz w:val="24"/>
        </w:rPr>
        <w:t>履约保证金</w:t>
      </w:r>
      <w:r>
        <w:rPr>
          <w:rFonts w:hint="eastAsia" w:ascii="仿宋_GB2312" w:hAnsi="仿宋_GB2312" w:eastAsia="仿宋_GB2312" w:cs="仿宋_GB2312"/>
          <w:sz w:val="24"/>
          <w:lang w:eastAsia="zh-CN"/>
        </w:rPr>
        <w:t>。</w:t>
      </w:r>
    </w:p>
    <w:p w14:paraId="7B3440FB">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所有款项均需待财政资金到位后支付，因财政资金延迟到位导致的采购人延期付款，不视为采购人违约。</w:t>
      </w:r>
    </w:p>
    <w:p w14:paraId="0103A35F">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rPr>
        <w:t>4、</w:t>
      </w:r>
      <w:r>
        <w:rPr>
          <w:rFonts w:hint="eastAsia" w:ascii="仿宋_GB2312" w:hAnsi="仿宋_GB2312" w:eastAsia="仿宋_GB2312" w:cs="仿宋_GB2312"/>
          <w:sz w:val="24"/>
          <w:szCs w:val="24"/>
        </w:rPr>
        <w:t>质保期：本项目质保期从展览制作完成并验收合格之日起至展品撤场后拆除并清理复原完毕止。</w:t>
      </w:r>
    </w:p>
    <w:p w14:paraId="0703A5F5">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（1）质保期内，供应商应保证展览品质。</w:t>
      </w:r>
    </w:p>
    <w:p w14:paraId="7281D457">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（2）项目撤展后，供应商需在10个工作日内把展厅清理干净、恢复进场前原状。</w:t>
      </w:r>
    </w:p>
    <w:p w14:paraId="737C9736">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3）质保期内，如出现问题，供应商应在接到采购人通知后24小时内派维修服务人员到场与采购人共同处理。如确属实施造成的质量问题，供应商负责修理，费用由供应商承担。供应商怠于或拒绝履行保修义务的，采购人有权聘请第三方代为履行，费用由供应商承担，采购人有权从履约保证金中直接扣除相应费用；如果是其他非供应商原因而引起的问题，采购人可委托供应商负责维修，费用由采购人支付。</w:t>
      </w:r>
    </w:p>
    <w:p w14:paraId="163E0945">
      <w:pPr>
        <w:spacing w:line="360" w:lineRule="auto"/>
        <w:jc w:val="left"/>
        <w:rPr>
          <w:rFonts w:ascii="仿宋_GB2312" w:hAnsi="仿宋_GB2312" w:eastAsia="仿宋_GB2312" w:cs="仿宋_GB2312"/>
          <w:sz w:val="24"/>
        </w:rPr>
      </w:pPr>
    </w:p>
    <w:p w14:paraId="539256F5">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三、技术要求</w:t>
      </w:r>
    </w:p>
    <w:p w14:paraId="4449846B">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（一）基本要求</w:t>
      </w:r>
    </w:p>
    <w:p w14:paraId="3A911B6B">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1、采购标的需实现的功能或者目标</w:t>
      </w:r>
    </w:p>
    <w:p w14:paraId="3F28A243">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主要向参观者讲述中国外销纹章瓷器的故事；纹章瓷是中国外销瓷的一个重要组成部分，是由中国制瓷工匠依照外国商人所提供的徽章设计图专门绘制而成，与贵族家庭或社会团体的重要历史事件有关，承载着丰富的历史信息，既有中国传统制瓷工艺的特点，又有欧美主流的审美意趣，是中外文化交流融合的重要物证。</w:t>
      </w:r>
    </w:p>
    <w:p w14:paraId="3499BF7F">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2、服务标准要求</w:t>
      </w:r>
    </w:p>
    <w:p w14:paraId="28973DEB">
      <w:pPr>
        <w:spacing w:line="360" w:lineRule="auto"/>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本项目须遵循国家相关法律法规及相关行业的规范标准，如下列标准及规范要求与</w:t>
      </w:r>
      <w:r>
        <w:rPr>
          <w:rFonts w:hint="eastAsia" w:ascii="仿宋_GB2312" w:hAnsi="仿宋_GB2312" w:eastAsia="仿宋_GB2312" w:cs="仿宋_GB2312"/>
          <w:sz w:val="24"/>
        </w:rPr>
        <w:t>采购文件</w:t>
      </w:r>
      <w:r>
        <w:rPr>
          <w:rFonts w:ascii="仿宋_GB2312" w:hAnsi="仿宋_GB2312" w:eastAsia="仿宋_GB2312" w:cs="仿宋_GB2312"/>
          <w:sz w:val="24"/>
        </w:rPr>
        <w:t>要求有出入则以较严格者为准。相关依据及参考标准（包括但不限于）如下：</w:t>
      </w:r>
    </w:p>
    <w:p w14:paraId="2DDE3542">
      <w:pPr>
        <w:spacing w:line="360" w:lineRule="auto"/>
        <w:jc w:val="left"/>
        <w:rPr>
          <w:rFonts w:ascii="仿宋_GB2312" w:hAnsi="仿宋_GB2312" w:eastAsia="仿宋_GB2312" w:cs="仿宋_GB2312"/>
          <w:sz w:val="24"/>
        </w:rPr>
      </w:pPr>
      <w:r>
        <w:rPr>
          <w:rFonts w:ascii="仿宋_GB2312" w:hAnsi="仿宋_GB2312" w:eastAsia="仿宋_GB2312" w:cs="仿宋_GB2312"/>
          <w:sz w:val="24"/>
        </w:rPr>
        <w:t>《中华人民共和国消防法》；</w:t>
      </w:r>
    </w:p>
    <w:p w14:paraId="7C090799">
      <w:pPr>
        <w:spacing w:line="360" w:lineRule="auto"/>
        <w:jc w:val="left"/>
        <w:rPr>
          <w:rFonts w:ascii="仿宋_GB2312" w:hAnsi="仿宋_GB2312" w:eastAsia="仿宋_GB2312" w:cs="仿宋_GB2312"/>
          <w:color w:val="auto"/>
          <w:sz w:val="24"/>
        </w:rPr>
      </w:pPr>
      <w:r>
        <w:rPr>
          <w:rFonts w:ascii="仿宋_GB2312" w:hAnsi="仿宋_GB2312" w:eastAsia="仿宋_GB2312" w:cs="仿宋_GB2312"/>
          <w:sz w:val="24"/>
        </w:rPr>
        <w:t>《博物馆管理办法》；</w:t>
      </w:r>
    </w:p>
    <w:p w14:paraId="7FF62F86">
      <w:pPr>
        <w:spacing w:line="360" w:lineRule="auto"/>
        <w:jc w:val="left"/>
        <w:rPr>
          <w:rFonts w:ascii="仿宋_GB2312" w:hAnsi="仿宋_GB2312" w:eastAsia="仿宋_GB2312" w:cs="仿宋_GB2312"/>
          <w:color w:val="auto"/>
          <w:sz w:val="24"/>
        </w:rPr>
      </w:pPr>
      <w:r>
        <w:rPr>
          <w:rFonts w:ascii="仿宋_GB2312" w:hAnsi="仿宋_GB2312" w:eastAsia="仿宋_GB2312" w:cs="仿宋_GB2312"/>
          <w:color w:val="auto"/>
          <w:sz w:val="24"/>
        </w:rPr>
        <w:t>《建筑制图标准》（GB/T50104-2010）；</w:t>
      </w:r>
    </w:p>
    <w:p w14:paraId="0BBF35C6">
      <w:pPr>
        <w:spacing w:line="360" w:lineRule="auto"/>
        <w:jc w:val="left"/>
        <w:rPr>
          <w:rFonts w:ascii="仿宋_GB2312" w:hAnsi="仿宋_GB2312" w:eastAsia="仿宋_GB2312" w:cs="仿宋_GB2312"/>
          <w:color w:val="auto"/>
          <w:sz w:val="24"/>
        </w:rPr>
      </w:pPr>
      <w:r>
        <w:rPr>
          <w:rFonts w:ascii="仿宋_GB2312" w:hAnsi="仿宋_GB2312" w:eastAsia="仿宋_GB2312" w:cs="仿宋_GB2312"/>
          <w:color w:val="auto"/>
          <w:sz w:val="24"/>
        </w:rPr>
        <w:t>《CAD工程制图规则》（GB/T 18229</w:t>
      </w:r>
      <w:r>
        <w:rPr>
          <w:rFonts w:ascii="仿宋" w:hAnsi="仿宋" w:eastAsia="仿宋"/>
          <w:color w:val="auto"/>
          <w:sz w:val="24"/>
          <w:szCs w:val="24"/>
          <w:lang w:bidi="ar"/>
        </w:rPr>
        <w:t>-2000</w:t>
      </w:r>
      <w:r>
        <w:rPr>
          <w:rFonts w:ascii="仿宋_GB2312" w:hAnsi="仿宋_GB2312" w:eastAsia="仿宋_GB2312" w:cs="仿宋_GB2312"/>
          <w:color w:val="auto"/>
          <w:sz w:val="24"/>
        </w:rPr>
        <w:t>）</w:t>
      </w:r>
    </w:p>
    <w:p w14:paraId="3ED30FF0">
      <w:pPr>
        <w:spacing w:line="360" w:lineRule="auto"/>
        <w:jc w:val="left"/>
        <w:rPr>
          <w:rFonts w:ascii="仿宋_GB2312" w:hAnsi="仿宋_GB2312" w:eastAsia="仿宋_GB2312" w:cs="仿宋_GB2312"/>
          <w:color w:val="auto"/>
          <w:sz w:val="24"/>
        </w:rPr>
      </w:pPr>
      <w:r>
        <w:rPr>
          <w:rFonts w:ascii="仿宋_GB2312" w:hAnsi="仿宋_GB2312" w:eastAsia="仿宋_GB2312" w:cs="仿宋_GB2312"/>
          <w:color w:val="auto"/>
          <w:sz w:val="24"/>
        </w:rPr>
        <w:t>《CAD通用技术规范》（GB/T17304-2009）；</w:t>
      </w:r>
    </w:p>
    <w:p w14:paraId="0B1D8F25">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《建筑内部装修设计防火规范》（GB50222-2017）；</w:t>
      </w:r>
    </w:p>
    <w:p w14:paraId="4F6A0AC6">
      <w:pPr>
        <w:spacing w:line="360" w:lineRule="auto"/>
        <w:jc w:val="left"/>
        <w:rPr>
          <w:rFonts w:ascii="仿宋_GB2312" w:hAnsi="仿宋_GB2312" w:eastAsia="仿宋_GB2312" w:cs="仿宋_GB2312"/>
          <w:sz w:val="24"/>
        </w:rPr>
      </w:pPr>
      <w:r>
        <w:rPr>
          <w:rFonts w:ascii="仿宋_GB2312" w:hAnsi="仿宋_GB2312" w:eastAsia="仿宋_GB2312" w:cs="仿宋_GB2312"/>
          <w:sz w:val="24"/>
        </w:rPr>
        <w:t>《民用建筑工程室内环境污染控制规范》（GB50325-20</w:t>
      </w:r>
      <w:r>
        <w:rPr>
          <w:rFonts w:hint="eastAsia" w:ascii="仿宋_GB2312" w:hAnsi="仿宋_GB2312" w:eastAsia="仿宋_GB2312" w:cs="仿宋_GB2312"/>
          <w:sz w:val="24"/>
        </w:rPr>
        <w:t>20</w:t>
      </w:r>
      <w:r>
        <w:rPr>
          <w:rFonts w:ascii="仿宋_GB2312" w:hAnsi="仿宋_GB2312" w:eastAsia="仿宋_GB2312" w:cs="仿宋_GB2312"/>
          <w:sz w:val="24"/>
        </w:rPr>
        <w:t>）；</w:t>
      </w:r>
    </w:p>
    <w:p w14:paraId="134D626B">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《建筑装饰装修工程施工质量验收规范》（GB50210-20</w:t>
      </w:r>
      <w:r>
        <w:rPr>
          <w:rFonts w:hint="eastAsia" w:ascii="仿宋_GB2312" w:hAnsi="仿宋_GB2312" w:eastAsia="仿宋_GB2312" w:cs="仿宋_GB2312"/>
          <w:sz w:val="24"/>
        </w:rPr>
        <w:t>18</w:t>
      </w:r>
      <w:r>
        <w:rPr>
          <w:rFonts w:ascii="仿宋_GB2312" w:hAnsi="仿宋_GB2312" w:eastAsia="仿宋_GB2312" w:cs="仿宋_GB2312"/>
          <w:sz w:val="24"/>
        </w:rPr>
        <w:t>）；</w:t>
      </w:r>
    </w:p>
    <w:p w14:paraId="7DD1D914">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《民用建筑电气设计标准》（GB51348-2019）</w:t>
      </w:r>
      <w:r>
        <w:rPr>
          <w:rFonts w:ascii="仿宋_GB2312" w:hAnsi="仿宋_GB2312" w:eastAsia="仿宋_GB2312" w:cs="仿宋_GB2312"/>
          <w:sz w:val="24"/>
        </w:rPr>
        <w:t>；</w:t>
      </w:r>
    </w:p>
    <w:p w14:paraId="273C252E">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《博物馆建筑设计规范》（JGJ66-2015）；</w:t>
      </w:r>
    </w:p>
    <w:p w14:paraId="02BCDD1A">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《博物馆照明设计规范》（GB/T23863-</w:t>
      </w:r>
      <w:r>
        <w:rPr>
          <w:rFonts w:hint="eastAsia" w:ascii="仿宋_GB2312" w:hAnsi="仿宋_GB2312" w:eastAsia="仿宋_GB2312" w:cs="仿宋_GB2312"/>
          <w:sz w:val="24"/>
        </w:rPr>
        <w:t>2024</w:t>
      </w:r>
      <w:r>
        <w:rPr>
          <w:rFonts w:ascii="仿宋_GB2312" w:hAnsi="仿宋_GB2312" w:eastAsia="仿宋_GB2312" w:cs="仿宋_GB2312"/>
          <w:sz w:val="24"/>
        </w:rPr>
        <w:t>）；</w:t>
      </w:r>
    </w:p>
    <w:p w14:paraId="4A9040CC">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《安全防范工程技术标准》（GB50348-2018）；</w:t>
      </w:r>
    </w:p>
    <w:p w14:paraId="12342753">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《博物馆安全保卫工作规定》；</w:t>
      </w:r>
    </w:p>
    <w:p w14:paraId="10048B68">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《室内空气质量标准》（GB/T18883-2022）；</w:t>
      </w:r>
    </w:p>
    <w:p w14:paraId="749C13E6">
      <w:pPr>
        <w:spacing w:line="360" w:lineRule="auto"/>
        <w:jc w:val="left"/>
        <w:rPr>
          <w:rFonts w:ascii="仿宋_GB2312" w:hAnsi="仿宋_GB2312" w:eastAsia="仿宋_GB2312" w:cs="仿宋_GB2312"/>
          <w:color w:val="auto"/>
          <w:sz w:val="24"/>
        </w:rPr>
      </w:pPr>
      <w:r>
        <w:rPr>
          <w:rFonts w:ascii="仿宋_GB2312" w:hAnsi="仿宋_GB2312" w:eastAsia="仿宋_GB2312" w:cs="仿宋_GB2312"/>
          <w:sz w:val="24"/>
        </w:rPr>
        <w:t>《民用建筑工程室内环境污染</w:t>
      </w:r>
      <w:r>
        <w:rPr>
          <w:rFonts w:ascii="仿宋_GB2312" w:hAnsi="仿宋_GB2312" w:eastAsia="仿宋_GB2312" w:cs="仿宋_GB2312"/>
          <w:color w:val="auto"/>
          <w:sz w:val="24"/>
        </w:rPr>
        <w:t>控制</w:t>
      </w:r>
      <w:r>
        <w:rPr>
          <w:rFonts w:hint="eastAsia" w:ascii="仿宋" w:hAnsi="仿宋" w:eastAsia="仿宋"/>
          <w:color w:val="auto"/>
          <w:sz w:val="24"/>
          <w:szCs w:val="24"/>
          <w:lang w:bidi="ar"/>
        </w:rPr>
        <w:t>标准</w:t>
      </w:r>
      <w:r>
        <w:rPr>
          <w:rFonts w:ascii="仿宋_GB2312" w:hAnsi="仿宋_GB2312" w:eastAsia="仿宋_GB2312" w:cs="仿宋_GB2312"/>
          <w:color w:val="auto"/>
          <w:sz w:val="24"/>
        </w:rPr>
        <w:t>》(G</w:t>
      </w:r>
      <w:r>
        <w:rPr>
          <w:rFonts w:ascii="仿宋_GB2312" w:hAnsi="仿宋_GB2312" w:eastAsia="仿宋_GB2312" w:cs="仿宋_GB2312"/>
          <w:sz w:val="24"/>
        </w:rPr>
        <w:t>B 50325-20</w:t>
      </w:r>
      <w:r>
        <w:rPr>
          <w:rFonts w:hint="eastAsia" w:ascii="仿宋_GB2312" w:hAnsi="仿宋_GB2312" w:eastAsia="仿宋_GB2312" w:cs="仿宋_GB2312"/>
          <w:sz w:val="24"/>
        </w:rPr>
        <w:t>2</w:t>
      </w:r>
      <w:r>
        <w:rPr>
          <w:rFonts w:ascii="仿宋_GB2312" w:hAnsi="仿宋_GB2312" w:eastAsia="仿宋_GB2312" w:cs="仿宋_GB2312"/>
          <w:sz w:val="24"/>
        </w:rPr>
        <w:t>0)；</w:t>
      </w:r>
    </w:p>
    <w:p w14:paraId="3809760D">
      <w:pPr>
        <w:spacing w:line="360" w:lineRule="auto"/>
        <w:jc w:val="left"/>
        <w:rPr>
          <w:rFonts w:ascii="仿宋_GB2312" w:hAnsi="仿宋_GB2312" w:eastAsia="仿宋_GB2312" w:cs="仿宋_GB2312"/>
          <w:sz w:val="24"/>
        </w:rPr>
      </w:pPr>
      <w:r>
        <w:rPr>
          <w:rFonts w:ascii="仿宋_GB2312" w:hAnsi="仿宋_GB2312" w:eastAsia="仿宋_GB2312" w:cs="仿宋_GB2312"/>
          <w:sz w:val="24"/>
        </w:rPr>
        <w:t>《博物馆陈列展览形式设计与施工规范》（WW/T0089-2018）；</w:t>
      </w:r>
    </w:p>
    <w:p w14:paraId="2A96A29C">
      <w:pPr>
        <w:spacing w:line="360" w:lineRule="auto"/>
        <w:jc w:val="left"/>
        <w:rPr>
          <w:rFonts w:ascii="仿宋_GB2312" w:hAnsi="仿宋_GB2312" w:eastAsia="仿宋_GB2312" w:cs="仿宋_GB2312"/>
          <w:sz w:val="24"/>
        </w:rPr>
      </w:pPr>
      <w:r>
        <w:rPr>
          <w:rFonts w:ascii="仿宋_GB2312" w:hAnsi="仿宋_GB2312" w:eastAsia="仿宋_GB2312" w:cs="仿宋_GB2312"/>
          <w:sz w:val="24"/>
        </w:rPr>
        <w:t>《文物展柜基本技术要求及检测》（GBT36111—2018）</w:t>
      </w:r>
    </w:p>
    <w:p w14:paraId="0DE6D44F">
      <w:pPr>
        <w:spacing w:line="360" w:lineRule="auto"/>
        <w:jc w:val="left"/>
        <w:rPr>
          <w:rFonts w:ascii="仿宋_GB2312" w:hAnsi="仿宋_GB2312" w:eastAsia="仿宋_GB2312" w:cs="仿宋_GB2312"/>
          <w:sz w:val="24"/>
        </w:rPr>
      </w:pPr>
      <w:r>
        <w:rPr>
          <w:rFonts w:ascii="仿宋_GB2312" w:hAnsi="仿宋_GB2312" w:eastAsia="仿宋_GB2312" w:cs="仿宋_GB2312"/>
          <w:sz w:val="24"/>
        </w:rPr>
        <w:t>财政部《财政部陈列展览项目支出预算方案编制规范和预算编制标准试行办法》（财办预[2017]56号）</w:t>
      </w:r>
    </w:p>
    <w:p w14:paraId="60E2E77C">
      <w:pPr>
        <w:spacing w:line="360" w:lineRule="auto"/>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上述标准、规范及规程仅是本项目最基本的依据，并未包括实施中所涉及到的所有标准、规范和规程，并且所用标准和技术规范均应为合同签订之日</w:t>
      </w:r>
      <w:r>
        <w:rPr>
          <w:rFonts w:hint="eastAsia" w:ascii="仿宋_GB2312" w:hAnsi="仿宋_GB2312" w:eastAsia="仿宋_GB2312" w:cs="仿宋_GB2312"/>
          <w:sz w:val="24"/>
        </w:rPr>
        <w:t>起到全部服务结束</w:t>
      </w:r>
      <w:r>
        <w:rPr>
          <w:rFonts w:ascii="仿宋_GB2312" w:hAnsi="仿宋_GB2312" w:eastAsia="仿宋_GB2312" w:cs="仿宋_GB2312"/>
          <w:sz w:val="24"/>
        </w:rPr>
        <w:t>为止时的最新版本。</w:t>
      </w:r>
    </w:p>
    <w:p w14:paraId="4B9D2C16">
      <w:pPr>
        <w:spacing w:line="360" w:lineRule="auto"/>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若</w:t>
      </w:r>
      <w:r>
        <w:rPr>
          <w:rFonts w:hint="eastAsia" w:ascii="仿宋_GB2312" w:hAnsi="仿宋_GB2312" w:eastAsia="仿宋_GB2312" w:cs="仿宋_GB2312"/>
          <w:sz w:val="24"/>
        </w:rPr>
        <w:t>供应商</w:t>
      </w:r>
      <w:r>
        <w:rPr>
          <w:rFonts w:ascii="仿宋_GB2312" w:hAnsi="仿宋_GB2312" w:eastAsia="仿宋_GB2312" w:cs="仿宋_GB2312"/>
          <w:sz w:val="24"/>
        </w:rPr>
        <w:t>使用的标准在本标书规定外，则应明确说明用于替代的标准或使用规范，并提供所使用的标准，该标准必须是国际公认的同等或更高级的标准。</w:t>
      </w:r>
    </w:p>
    <w:p w14:paraId="5263279A">
      <w:pPr>
        <w:spacing w:line="360" w:lineRule="auto"/>
        <w:jc w:val="left"/>
        <w:rPr>
          <w:rFonts w:ascii="仿宋_GB2312" w:hAnsi="仿宋_GB2312" w:eastAsia="仿宋_GB2312" w:cs="仿宋_GB2312"/>
          <w:b/>
          <w:bCs/>
          <w:sz w:val="24"/>
        </w:rPr>
      </w:pPr>
    </w:p>
    <w:p w14:paraId="49F2B0E0">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（二）服务内容及要求</w:t>
      </w:r>
    </w:p>
    <w:p w14:paraId="0C2C32D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1、具体服务内容</w:t>
      </w:r>
    </w:p>
    <w:p w14:paraId="3D38730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（1）对采购人提供的展览素材进行深化设计并报请采购人审批通过。</w:t>
      </w:r>
    </w:p>
    <w:p w14:paraId="07FDE83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（2）需按照经采购人审批通过后的施工图进行生产制作。</w:t>
      </w:r>
    </w:p>
    <w:p w14:paraId="4A789A9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（3）对施工阶段的成品、半成品进行相应的保护。</w:t>
      </w:r>
    </w:p>
    <w:p w14:paraId="0D81938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（4）展览展墙的搭建、地面面层的铺设。</w:t>
      </w:r>
    </w:p>
    <w:p w14:paraId="05A90F3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（5）敷设临时照明、展览设备设施用电等电路线路。</w:t>
      </w:r>
    </w:p>
    <w:p w14:paraId="15503061">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（6）展览相关场景、模型的制作、运输与安装。</w:t>
      </w:r>
    </w:p>
    <w:p w14:paraId="39DBE3C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（7）平面版式及辅助展品、展板的深化设计及制作。</w:t>
      </w:r>
    </w:p>
    <w:p w14:paraId="28D8B18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（8）柜内展架的制作与安装。</w:t>
      </w:r>
    </w:p>
    <w:p w14:paraId="3A7A93E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（9）展品布、撤展阶段的相关施工配合工作。</w:t>
      </w:r>
    </w:p>
    <w:p w14:paraId="16E7466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（10）展览结束后的相关拆除并清理复原以及垃圾清运。</w:t>
      </w:r>
    </w:p>
    <w:p w14:paraId="1EECF44E">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（11）多媒体项目的制作及安装，并保证展陈期间保障数字影片与软件的版权合法性。</w:t>
      </w:r>
    </w:p>
    <w:p w14:paraId="2AF3492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（12）展览现场施工过程中其他应由供应商配合完成的工作，如展览灯具调试配合工作等。</w:t>
      </w:r>
    </w:p>
    <w:p w14:paraId="0EB1E79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2、服务要求</w:t>
      </w:r>
    </w:p>
    <w:p w14:paraId="522B472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（1）采购人可以在不影响总价与工期的前提下，对已确定的方案进行合理性的变更，供应商应尽可能配合采购人的变更要求。</w:t>
      </w:r>
    </w:p>
    <w:p w14:paraId="28C52CD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（2）本项目所有设计文件的版权最终全部归采购人所有。</w:t>
      </w:r>
    </w:p>
    <w:p w14:paraId="66E9418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（3）供应商的报价应包括</w:t>
      </w:r>
    </w:p>
    <w:p w14:paraId="4EB6832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1）文物保护的恒温恒湿设备（馆里业务负责部门无法提供的部分）的租赁及安装维护费用；</w:t>
      </w:r>
    </w:p>
    <w:p w14:paraId="32097BF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2）深化设计需增加的临时展柜、展台的制作、运输与安装；</w:t>
      </w:r>
    </w:p>
    <w:p w14:paraId="084CF7E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3）展墙、隔断、展板的设计、制作及安装；展具的制作及安装；展标、前言、结语、部题、说明牌、开幕式背板、宣传海报等文字版式以及立面设计的图文版式的设计、制作及安装；</w:t>
      </w:r>
    </w:p>
    <w:p w14:paraId="1D89DF2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4）根据展览要求对现有照明设备的改造及调试；</w:t>
      </w:r>
    </w:p>
    <w:p w14:paraId="3688DA0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5）场景的制作、运输、安装；</w:t>
      </w:r>
    </w:p>
    <w:p w14:paraId="5ACECEC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6）撤展及清理复原等相关工作。</w:t>
      </w:r>
    </w:p>
    <w:p w14:paraId="4ACA8D79">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（4）展览完工验收一</w:t>
      </w:r>
      <w:r>
        <w:rPr>
          <w:rFonts w:hint="eastAsia" w:ascii="仿宋_GB2312" w:hAnsi="仿宋_GB2312" w:eastAsia="仿宋_GB2312" w:cs="仿宋_GB2312"/>
          <w:color w:val="auto"/>
          <w:sz w:val="24"/>
          <w:szCs w:val="24"/>
        </w:rPr>
        <w:t>周内，成交供应商应将全部</w:t>
      </w:r>
      <w:r>
        <w:rPr>
          <w:rFonts w:hint="eastAsia" w:ascii="仿宋_GB2312" w:hAnsi="仿宋_GB2312" w:eastAsia="仿宋_GB2312" w:cs="仿宋_GB2312"/>
          <w:sz w:val="24"/>
          <w:szCs w:val="24"/>
        </w:rPr>
        <w:t>的设计图纸、施工图纸及相关资料文档(文本资料和电子版)交由首都博物馆存档。施工完毕及时将设计文件（必须包含方案设计图、深化设计以及施工图以及展览竣工图图纸的文本资料和电子版）存档并交付首博，配合结算评审工作。</w:t>
      </w:r>
    </w:p>
    <w:p w14:paraId="2CACD692">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（5）布展施工期间，供应商应做好地面保护及其他展厅设备设施的保护以及施工</w:t>
      </w:r>
      <w:r>
        <w:rPr>
          <w:rFonts w:ascii="仿宋_GB2312" w:hAnsi="仿宋_GB2312" w:eastAsia="仿宋_GB2312" w:cs="仿宋_GB2312"/>
          <w:sz w:val="24"/>
        </w:rPr>
        <w:t>安全</w:t>
      </w:r>
      <w:r>
        <w:rPr>
          <w:rFonts w:hint="eastAsia" w:ascii="仿宋_GB2312" w:hAnsi="仿宋_GB2312" w:eastAsia="仿宋_GB2312" w:cs="仿宋_GB2312"/>
          <w:sz w:val="24"/>
          <w:szCs w:val="24"/>
        </w:rPr>
        <w:t>。</w:t>
      </w:r>
    </w:p>
    <w:p w14:paraId="48DFA928">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首都博物馆展厅内不具备现场加工、施工、制作的条件，供应商应具备场外独立施工场地（自有工厂或有合作的加工制作工厂），并在施工场地完成包括展墙、隔断、展板、展具、说明牌等各类构配件的加工制作及预拼装流程，再运至首都博物馆相关展厅完成展览材料和各类展具的最终组装工作。</w:t>
      </w:r>
    </w:p>
    <w:p w14:paraId="57CBDC9C">
      <w:pPr>
        <w:spacing w:line="360" w:lineRule="auto"/>
        <w:jc w:val="left"/>
        <w:rPr>
          <w:rFonts w:ascii="仿宋_GB2312" w:hAnsi="仿宋_GB2312" w:eastAsia="仿宋_GB2312" w:cs="仿宋_GB2312"/>
          <w:b/>
          <w:bCs/>
          <w:sz w:val="24"/>
        </w:rPr>
      </w:pPr>
    </w:p>
    <w:p w14:paraId="72B89464">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（三）文物保护的技术要求</w:t>
      </w:r>
    </w:p>
    <w:p w14:paraId="6A811B26">
      <w:pPr>
        <w:spacing w:line="360" w:lineRule="auto"/>
        <w:ind w:firstLine="480" w:firstLineChars="200"/>
        <w:jc w:val="left"/>
        <w:rPr>
          <w:rFonts w:ascii="仿宋_GB2312" w:hAnsi="仿宋_GB2312" w:eastAsia="仿宋_GB2312" w:cs="仿宋_GB2312"/>
          <w:b/>
          <w:bCs/>
          <w:sz w:val="24"/>
        </w:rPr>
      </w:pPr>
      <w:r>
        <w:rPr>
          <w:rFonts w:hint="eastAsia" w:ascii="仿宋_GB2312" w:hAnsi="仿宋_GB2312" w:eastAsia="仿宋_GB2312" w:cs="仿宋_GB2312"/>
          <w:sz w:val="24"/>
        </w:rPr>
        <w:t>关于文物保护的技术要求包含并不限于以下内容，其他未列出要求以文物保护相关规范为准。</w:t>
      </w:r>
    </w:p>
    <w:p w14:paraId="7BA1F10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1、在布展期间（展品上柜/下柜）严禁在展厅内施工，包括上漆、配电、木工、安装照明、使用梯子或桥式吊车。</w:t>
      </w:r>
    </w:p>
    <w:p w14:paraId="54BF991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2、整个布展只允许使用水性油漆。</w:t>
      </w:r>
    </w:p>
    <w:p w14:paraId="6B71452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3、布展所用的材料（尤其是柜内展具）不得含有任何甲醛、醋酸或其它污染物。</w:t>
      </w:r>
    </w:p>
    <w:p w14:paraId="63E4D1F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4、在制作展柜时仅能使用中性材料，即金属（钢、铝）、玻璃和某些塑料（有机玻璃）。</w:t>
      </w:r>
    </w:p>
    <w:p w14:paraId="6B284D3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5、制作的展柜外壳与柜内展具不允许使用任何压缩木料（严禁胶水外溢）。</w:t>
      </w:r>
    </w:p>
    <w:p w14:paraId="109736A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6、制作的展柜内点光源与泛光照明相结合。</w:t>
      </w:r>
    </w:p>
    <w:p w14:paraId="07B5C80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7、带有LCD液晶屏的展柜需具备通风系统（向展柜外散去液晶屏所产生的热量）。</w:t>
      </w:r>
    </w:p>
    <w:p w14:paraId="029FB1B1">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8、任何外界灰尘均不得进入展柜内部。电子设备的风扇均会产生灰尘，故而不得使用。</w:t>
      </w:r>
    </w:p>
    <w:p w14:paraId="091A64EB">
      <w:pPr>
        <w:spacing w:line="360" w:lineRule="auto"/>
        <w:jc w:val="left"/>
        <w:rPr>
          <w:rFonts w:ascii="仿宋_GB2312" w:hAnsi="仿宋_GB2312" w:eastAsia="仿宋_GB2312" w:cs="仿宋_GB2312"/>
          <w:b/>
          <w:bCs/>
          <w:sz w:val="24"/>
        </w:rPr>
      </w:pPr>
    </w:p>
    <w:p w14:paraId="185683CE">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（四）首博展厅环境要求</w:t>
      </w:r>
    </w:p>
    <w:p w14:paraId="31F681B3">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参照中华人民共和国《博物馆建筑设计规范（JGJ66—2015）》及《博物馆照明设计规范（GB/T 23863—2024）》相应部分的规定，展厅须按照下述所列技术参数提供温度、相对湿度、照度及烟雾尘埃与有害气体浓度限值的条件。</w:t>
      </w:r>
    </w:p>
    <w:p w14:paraId="6E83B754">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（1）温度：展厅及临时库房须设置温度调节设备，温度保持在20℃±2℃，每日波动不超过2℃。</w:t>
      </w:r>
    </w:p>
    <w:p w14:paraId="0D2B61A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（2）湿度：展厅及临时库房须设置湿度调节设备，保持相对湿度基本稳定，根据展品的材质确定参数，推荐值参照下表的规定：</w:t>
      </w:r>
    </w:p>
    <w:tbl>
      <w:tblPr>
        <w:tblStyle w:val="44"/>
        <w:tblW w:w="8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138"/>
        <w:gridCol w:w="2111"/>
      </w:tblGrid>
      <w:tr w14:paraId="0A15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4B159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6138" w:type="dxa"/>
          </w:tcPr>
          <w:p w14:paraId="18E9669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材质类别</w:t>
            </w:r>
          </w:p>
        </w:tc>
        <w:tc>
          <w:tcPr>
            <w:tcW w:w="2111" w:type="dxa"/>
          </w:tcPr>
          <w:p w14:paraId="1D43EB2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相对湿度（%）</w:t>
            </w:r>
          </w:p>
        </w:tc>
      </w:tr>
      <w:tr w14:paraId="42DB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DA241B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138" w:type="dxa"/>
          </w:tcPr>
          <w:p w14:paraId="1B306BD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金银器、青铜器、古钱币、陶瓷、石器、玉器玻璃等</w:t>
            </w:r>
          </w:p>
        </w:tc>
        <w:tc>
          <w:tcPr>
            <w:tcW w:w="2111" w:type="dxa"/>
          </w:tcPr>
          <w:p w14:paraId="008266F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40～50</w:t>
            </w:r>
          </w:p>
        </w:tc>
      </w:tr>
      <w:tr w14:paraId="1C6F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BFB58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38" w:type="dxa"/>
          </w:tcPr>
          <w:p w14:paraId="221E959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纸质书画、纺织品、腊叶植物标本等</w:t>
            </w:r>
          </w:p>
        </w:tc>
        <w:tc>
          <w:tcPr>
            <w:tcW w:w="2111" w:type="dxa"/>
          </w:tcPr>
          <w:p w14:paraId="1785869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50～60</w:t>
            </w:r>
          </w:p>
        </w:tc>
      </w:tr>
      <w:tr w14:paraId="5EA0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02286C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6138" w:type="dxa"/>
          </w:tcPr>
          <w:p w14:paraId="0FC5EDC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竹器、木器、藤器、漆器、骨器、象牙、古生物化石等</w:t>
            </w:r>
          </w:p>
        </w:tc>
        <w:tc>
          <w:tcPr>
            <w:tcW w:w="2111" w:type="dxa"/>
          </w:tcPr>
          <w:p w14:paraId="7FBF867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55～65</w:t>
            </w:r>
          </w:p>
        </w:tc>
      </w:tr>
      <w:tr w14:paraId="38D3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8CB35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6138" w:type="dxa"/>
          </w:tcPr>
          <w:p w14:paraId="0288CB9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墓葬壁画等</w:t>
            </w:r>
          </w:p>
        </w:tc>
        <w:tc>
          <w:tcPr>
            <w:tcW w:w="2111" w:type="dxa"/>
          </w:tcPr>
          <w:p w14:paraId="598CBE8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45～55</w:t>
            </w:r>
          </w:p>
        </w:tc>
      </w:tr>
      <w:tr w14:paraId="229F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F1686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6138" w:type="dxa"/>
          </w:tcPr>
          <w:p w14:paraId="61BE2632">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一般动、植物标本等</w:t>
            </w:r>
          </w:p>
        </w:tc>
        <w:tc>
          <w:tcPr>
            <w:tcW w:w="2111" w:type="dxa"/>
          </w:tcPr>
          <w:p w14:paraId="128DC9C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40～60</w:t>
            </w:r>
          </w:p>
        </w:tc>
      </w:tr>
    </w:tbl>
    <w:p w14:paraId="1A3E2E3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（3）光照度：展场灯光应使用冷光源，根据展品的材质确定参数，推荐值参照下表的规定：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6952"/>
        <w:gridCol w:w="1251"/>
      </w:tblGrid>
      <w:tr w14:paraId="7C1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DE4BF4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6952" w:type="dxa"/>
          </w:tcPr>
          <w:p w14:paraId="7E74DB9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材质类别</w:t>
            </w:r>
          </w:p>
        </w:tc>
        <w:tc>
          <w:tcPr>
            <w:tcW w:w="1251" w:type="dxa"/>
          </w:tcPr>
          <w:p w14:paraId="742A7BA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照度（LX）</w:t>
            </w:r>
          </w:p>
        </w:tc>
      </w:tr>
      <w:tr w14:paraId="20DA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EF0779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952" w:type="dxa"/>
          </w:tcPr>
          <w:p w14:paraId="418409B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对光特别敏感：绘画、织绣品、纸质物品、彩绘陶（石）器、染色皮革、动植物标本等</w:t>
            </w:r>
          </w:p>
        </w:tc>
        <w:tc>
          <w:tcPr>
            <w:tcW w:w="1251" w:type="dxa"/>
          </w:tcPr>
          <w:p w14:paraId="083BED5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≤50</w:t>
            </w:r>
          </w:p>
        </w:tc>
      </w:tr>
      <w:tr w14:paraId="51ED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212DF8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952" w:type="dxa"/>
          </w:tcPr>
          <w:p w14:paraId="17FD4B5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对光较敏感：竹器、木器、藤器、漆器、骨器、油画、壁画、牙骨角器、宝玉石器、天然皮革、银制品等</w:t>
            </w:r>
          </w:p>
        </w:tc>
        <w:tc>
          <w:tcPr>
            <w:tcW w:w="1251" w:type="dxa"/>
          </w:tcPr>
          <w:p w14:paraId="26C19D1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≤150</w:t>
            </w:r>
          </w:p>
        </w:tc>
      </w:tr>
      <w:tr w14:paraId="4A97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45" w:type="dxa"/>
          </w:tcPr>
          <w:p w14:paraId="7ED7458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6952" w:type="dxa"/>
          </w:tcPr>
          <w:p w14:paraId="151F9A6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对光不敏感：其他金属、石材、玻璃、陶瓷、珠宝、搪瓷、珐琅等</w:t>
            </w:r>
          </w:p>
        </w:tc>
        <w:tc>
          <w:tcPr>
            <w:tcW w:w="1251" w:type="dxa"/>
          </w:tcPr>
          <w:p w14:paraId="6BCF6DE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≤300</w:t>
            </w:r>
          </w:p>
        </w:tc>
      </w:tr>
    </w:tbl>
    <w:p w14:paraId="3C03E10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（4）烟雾尘埃与有害气体浓度限值：展场及临时库房须设置通风或空气调节设备对新风采取过滤净化措施，浓度限值应符合下表的规定：</w:t>
      </w:r>
    </w:p>
    <w:tbl>
      <w:tblPr>
        <w:tblStyle w:val="44"/>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4374"/>
        <w:gridCol w:w="3129"/>
      </w:tblGrid>
      <w:tr w14:paraId="238C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3AE0EBA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4374" w:type="dxa"/>
            <w:vAlign w:val="center"/>
          </w:tcPr>
          <w:p w14:paraId="24D0A7C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污染物类别</w:t>
            </w:r>
          </w:p>
        </w:tc>
        <w:tc>
          <w:tcPr>
            <w:tcW w:w="3129" w:type="dxa"/>
            <w:vAlign w:val="center"/>
          </w:tcPr>
          <w:p w14:paraId="43A8ABA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浓度限值（㎎/㎡）</w:t>
            </w:r>
          </w:p>
        </w:tc>
      </w:tr>
      <w:tr w14:paraId="7976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36AE39E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4374" w:type="dxa"/>
            <w:vAlign w:val="center"/>
          </w:tcPr>
          <w:p w14:paraId="2D3124B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烟雾尘埃</w:t>
            </w:r>
          </w:p>
        </w:tc>
        <w:tc>
          <w:tcPr>
            <w:tcW w:w="3129" w:type="dxa"/>
            <w:vAlign w:val="center"/>
          </w:tcPr>
          <w:p w14:paraId="229ADCC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0.15</w:t>
            </w:r>
          </w:p>
        </w:tc>
      </w:tr>
      <w:tr w14:paraId="1B8A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7FD2622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4374" w:type="dxa"/>
            <w:vAlign w:val="center"/>
          </w:tcPr>
          <w:p w14:paraId="2399F57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二氧化硫（SO2）</w:t>
            </w:r>
          </w:p>
        </w:tc>
        <w:tc>
          <w:tcPr>
            <w:tcW w:w="3129" w:type="dxa"/>
            <w:vAlign w:val="center"/>
          </w:tcPr>
          <w:p w14:paraId="21AF60C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0.01</w:t>
            </w:r>
          </w:p>
        </w:tc>
      </w:tr>
      <w:tr w14:paraId="426D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0E7C39D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4374" w:type="dxa"/>
            <w:vAlign w:val="center"/>
          </w:tcPr>
          <w:p w14:paraId="21BB40D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二氧化氮（NO2）</w:t>
            </w:r>
          </w:p>
        </w:tc>
        <w:tc>
          <w:tcPr>
            <w:tcW w:w="3129" w:type="dxa"/>
            <w:vAlign w:val="center"/>
          </w:tcPr>
          <w:p w14:paraId="254A46E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0.01</w:t>
            </w:r>
          </w:p>
        </w:tc>
      </w:tr>
      <w:tr w14:paraId="2F1D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55699F6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4374" w:type="dxa"/>
            <w:vAlign w:val="center"/>
          </w:tcPr>
          <w:p w14:paraId="4F1F3C52">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臭氧（O3）</w:t>
            </w:r>
          </w:p>
        </w:tc>
        <w:tc>
          <w:tcPr>
            <w:tcW w:w="3129" w:type="dxa"/>
            <w:vAlign w:val="center"/>
          </w:tcPr>
          <w:p w14:paraId="2B51C60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0.01</w:t>
            </w:r>
          </w:p>
        </w:tc>
      </w:tr>
      <w:tr w14:paraId="0A2D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44E6E0D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4374" w:type="dxa"/>
            <w:vAlign w:val="center"/>
          </w:tcPr>
          <w:p w14:paraId="62095E6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一氧化氮（NO）</w:t>
            </w:r>
          </w:p>
        </w:tc>
        <w:tc>
          <w:tcPr>
            <w:tcW w:w="3129" w:type="dxa"/>
            <w:vAlign w:val="center"/>
          </w:tcPr>
          <w:p w14:paraId="0EDA3A2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0.05</w:t>
            </w:r>
          </w:p>
        </w:tc>
      </w:tr>
      <w:tr w14:paraId="25E8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Align w:val="center"/>
          </w:tcPr>
          <w:p w14:paraId="5059D41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4374" w:type="dxa"/>
            <w:vAlign w:val="center"/>
          </w:tcPr>
          <w:p w14:paraId="7D30F7A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一氧化碳（CO）</w:t>
            </w:r>
          </w:p>
        </w:tc>
        <w:tc>
          <w:tcPr>
            <w:tcW w:w="3129" w:type="dxa"/>
            <w:vAlign w:val="center"/>
          </w:tcPr>
          <w:p w14:paraId="5B56F52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4.00</w:t>
            </w:r>
          </w:p>
        </w:tc>
      </w:tr>
    </w:tbl>
    <w:p w14:paraId="6DB6CFC7">
      <w:pPr>
        <w:spacing w:line="360" w:lineRule="auto"/>
        <w:jc w:val="left"/>
        <w:rPr>
          <w:rFonts w:ascii="仿宋_GB2312" w:hAnsi="仿宋_GB2312" w:eastAsia="仿宋_GB2312" w:cs="仿宋_GB2312"/>
          <w:b/>
          <w:bCs/>
          <w:sz w:val="24"/>
        </w:rPr>
      </w:pPr>
    </w:p>
    <w:p w14:paraId="1EEFAD0A">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（五）临时制作展柜的技术要求</w:t>
      </w:r>
    </w:p>
    <w:p w14:paraId="6754B11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1、功能要求</w:t>
      </w:r>
    </w:p>
    <w:p w14:paraId="7F56270E">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展柜应具有良好的密闭性和高度的安全性，能够满足珍贵文物对展示微环境的严格要求。加装恒湿设备的展柜，其展示空间湿度的控制范围和稳定性需达到文物保护的要求。</w:t>
      </w:r>
    </w:p>
    <w:p w14:paraId="45A5387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2、外观要求</w:t>
      </w:r>
    </w:p>
    <w:p w14:paraId="72A67DDC">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展柜外观应稳重、现代，加工工艺精致，接缝线条挺拔顺直，锁闭功能设计要安全合理，锁眼不外露，设计外观、面材及尺度分配见各不同类型展柜设计图纸。</w:t>
      </w:r>
    </w:p>
    <w:p w14:paraId="7A24C73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3、材料要求</w:t>
      </w:r>
    </w:p>
    <w:p w14:paraId="3AB5DE5E">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框架结构：展示柜框架为金属结构，做防锈处理。主框架基座为钢结构，钢材料选用符合GB13237-2013规定厚度的方钢管，设计有水平调节装置，外表面为钢质或木质防火饰面板，颜色和质感按甲方要求为准，基座承载能力≥150kg/m</w:t>
      </w:r>
      <w:r>
        <w:rPr>
          <w:rFonts w:ascii="仿宋_GB2312" w:hAnsi="仿宋_GB2312" w:eastAsia="仿宋_GB2312" w:cs="仿宋_GB2312"/>
          <w:sz w:val="24"/>
          <w:vertAlign w:val="superscript"/>
        </w:rPr>
        <w:t>2</w:t>
      </w:r>
      <w:r>
        <w:rPr>
          <w:rFonts w:hint="eastAsia" w:ascii="仿宋_GB2312" w:hAnsi="仿宋_GB2312" w:eastAsia="仿宋_GB2312" w:cs="仿宋_GB2312"/>
          <w:sz w:val="24"/>
        </w:rPr>
        <w:t>。配套设备提供安装空间，展柜设备安装空间的检修门与展柜展示区域的门分别控制，以保证展陈部分的安全性及密封性。所用材料应向采购人提供材质单及其质检报告。</w:t>
      </w:r>
    </w:p>
    <w:p w14:paraId="338E723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陈列部分玻璃：文物展示柜玻璃采用6+1.52+6㎜以上厚度（视不同展柜类型分别确定）的夹胶防爆膜、防紫外线超白玻璃，原片玻璃透光率不低于92%。夹胶后玻璃透光率不低于86%。隔板玻璃采用3+0.76+3mm厚的乳白夹胶玻璃。外露边缘精抛光，不被看见的边缘不要求抛光，但须磨边。外露角必须倒为安全角。玻璃防盗、安全性能符合GB15763.3-2009标准的规定，并且可以阻挡99%的紫外光（波长为320—380纳米）。</w:t>
      </w:r>
    </w:p>
    <w:p w14:paraId="1FE0F48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（3）结构边框材料：型材与玻璃连接部分的结构符合高性能展柜的要求，使用高性能牌号的铝合金型材（6063），时效状态为T5，韦氏硬度不小于8。表面经过静电喷涂处理，喷涂符合国家标准规定。</w:t>
      </w:r>
    </w:p>
    <w:p w14:paraId="6427C47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（4）玻璃与边框的粘接为不小于30mm的完全密封粘接，确保展柜玻璃板的牢固性，防撬性，密封性及防爆性。</w:t>
      </w:r>
    </w:p>
    <w:p w14:paraId="4B282F7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（5）玻璃及结构框之间的粘接剂，粘接剂指标为：剪切强度≥4Mpa；拉伸强度≥6.3Mpa，粘结剂采用符合国际标准的环保产品，不能挥发对展品产生危害的物质。</w:t>
      </w:r>
    </w:p>
    <w:p w14:paraId="1C0FA03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（6）开启系统：根据不同柜型采用不同的科学合理的玻璃门开启方式。</w:t>
      </w:r>
    </w:p>
    <w:p w14:paraId="7ABDF57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密闭性：展示柜本身为整体密闭型结构，并采用专用密封型材和硅胶密封条，展示空间空气交换次数≤0.2次/天，并提供相关证明材料。展柜密封条常用材料为有机硅密封条（密封条不能是酸性）物质。表面要求光滑，无明显的机械杂质。需安装恒湿机的展柜预留恒湿机风口及湿度探测探头出口。</w:t>
      </w:r>
    </w:p>
    <w:p w14:paraId="789A763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8）展柜使用的所有材料是惰性的环保材料来降低潜在的污染风险，与陈列部分直接接触的板材，板材选择E0级，并且对其表面进行密封、防火及防有害气体处理，最小化有害气体对展品的破坏。纺织物必须是环保的100%纯棉纺织物并经过相关检测部门或实验室检测的，适合在博物馆使用的产品，展布采用无胶粘接的固定方式固定在板材上。</w:t>
      </w:r>
    </w:p>
    <w:p w14:paraId="32D48C1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（9）展柜的外围材料均为非燃烧性材料，保证展柜的防火性能。</w:t>
      </w:r>
    </w:p>
    <w:p w14:paraId="0C2254B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4、照明要求</w:t>
      </w:r>
    </w:p>
    <w:p w14:paraId="763E1D88">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照明装置性能：光源采用显色指数Ra＞90、色温3000K、发热量低的LED光源，紫外线含量应符合博物馆照明设计规范GB/T23863-2024中的相关要求（＜20μw/lm。展柜内灯具按不同类型，单独控制、调光，展柜内照明可调范围在0－400Lux。</w:t>
      </w:r>
    </w:p>
    <w:p w14:paraId="79C39F6F">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5、安全性能</w:t>
      </w:r>
    </w:p>
    <w:p w14:paraId="2F06A27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以下安全设备必须符合国家安全防范技术规范和标准，确保项目通过安全防范验收。</w:t>
      </w:r>
    </w:p>
    <w:p w14:paraId="08AF297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（1）临时制作独立展柜应具有相当的自重（大于200KG），稳固、安全、抗撞击，展示柜使用博物馆专用锁具。</w:t>
      </w:r>
    </w:p>
    <w:p w14:paraId="7932C10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（2）展柜内使用的所有电气产品均应选用符合国家现行标准且通过3C认证的正规产品。</w:t>
      </w:r>
    </w:p>
    <w:p w14:paraId="60B1BD5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（3）展柜的机械装置应采用隐藏式。</w:t>
      </w:r>
    </w:p>
    <w:p w14:paraId="614987E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（4）展柜应使用博物馆专用锁具，锁体及钥匙的材料均为超硬度的耐磨、防锈材料，临时性展柜钥匙互换率应达15万次以上，且钥匙的编号可根据要求分组管理。</w:t>
      </w:r>
    </w:p>
    <w:p w14:paraId="461FF08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（5）展柜每个柜子的展示门安装独立钥匙开启的锁具，所有展柜检修门锁具用同一把钥匙开启。</w:t>
      </w:r>
    </w:p>
    <w:p w14:paraId="02AF805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6、其他要求</w:t>
      </w:r>
    </w:p>
    <w:p w14:paraId="75590AE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（1）文物展柜基本技术要求及检测应严格遵守《GBT 36111—2018标准》。</w:t>
      </w:r>
    </w:p>
    <w:p w14:paraId="4ACC9ABF">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（2）展柜制作前成交供应商应按照采购人要求提供完整的展柜图纸资料和制作样柜供采购人确认后方可制作。</w:t>
      </w:r>
    </w:p>
    <w:p w14:paraId="60EFC09E">
      <w:pPr>
        <w:spacing w:line="360" w:lineRule="auto"/>
        <w:jc w:val="left"/>
        <w:rPr>
          <w:rFonts w:ascii="仿宋_GB2312" w:hAnsi="仿宋_GB2312" w:eastAsia="仿宋_GB2312" w:cs="仿宋_GB2312"/>
          <w:sz w:val="24"/>
          <w:szCs w:val="24"/>
        </w:rPr>
      </w:pPr>
    </w:p>
    <w:p w14:paraId="31B91749">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四、供应商要求</w:t>
      </w:r>
    </w:p>
    <w:p w14:paraId="2D89CC0A">
      <w:pPr>
        <w:spacing w:line="360" w:lineRule="auto"/>
        <w:jc w:val="left"/>
        <w:rPr>
          <w:rFonts w:ascii="仿宋_GB2312" w:hAnsi="仿宋_GB2312" w:eastAsia="仿宋_GB2312" w:cs="仿宋_GB2312"/>
          <w:sz w:val="24"/>
        </w:rPr>
      </w:pPr>
      <w:r>
        <w:rPr>
          <w:rFonts w:hint="eastAsia" w:ascii="仿宋_GB2312" w:hAnsi="仿宋_GB2312" w:eastAsia="仿宋_GB2312" w:cs="仿宋_GB2312"/>
          <w:b/>
          <w:bCs/>
          <w:sz w:val="24"/>
        </w:rPr>
        <w:t>（一）供应商结合本项目情况响应文件中提供相关方案，包括但不限于：</w:t>
      </w:r>
    </w:p>
    <w:p w14:paraId="2C13CCC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1、需求分析解决方案</w:t>
      </w:r>
    </w:p>
    <w:p w14:paraId="6AE5D561">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供应商应针对本项目实际情况结合过往经验分析并指出项目实施过程中潜在的困难点、风险点，并能够给出妥善的解决方案。</w:t>
      </w:r>
    </w:p>
    <w:p w14:paraId="3CFC16AE">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2、设计图纸</w:t>
      </w:r>
    </w:p>
    <w:p w14:paraId="7DF7B935">
      <w:pPr>
        <w:spacing w:line="360" w:lineRule="auto"/>
        <w:ind w:firstLine="480" w:firstLineChars="200"/>
        <w:jc w:val="left"/>
        <w:rPr>
          <w:rFonts w:ascii="仿宋_GB2312" w:hAnsi="仿宋_GB2312" w:cs="仿宋_GB2312"/>
          <w:sz w:val="24"/>
        </w:rPr>
      </w:pPr>
      <w:r>
        <w:rPr>
          <w:rFonts w:hint="eastAsia" w:ascii="仿宋_GB2312" w:hAnsi="仿宋_GB2312" w:eastAsia="仿宋_GB2312" w:cs="仿宋_GB2312"/>
          <w:sz w:val="24"/>
        </w:rPr>
        <w:t>基于本项目提供的相关图纸，结合项目情况及采购人提供的资料，供应商在响应文件中提供设计平面图、参观流线图、轴测图；序厅、各单元、尾厅及重点场景设计效果图；展览标题、各单元部题及宣传广告平面设计图。供应商获取文件后，以电子邮件的方式提供本项目展厅平面图、展览大纲、文物清单。</w:t>
      </w:r>
    </w:p>
    <w:p w14:paraId="5CF376E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3、展览方案</w:t>
      </w:r>
    </w:p>
    <w:p w14:paraId="701583EC">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包含展陈加工制作方案；多媒体及观众互动实施方案保证展览的生动性、创意性；重点展品展示设计；创新技术及多专业领域综合运用的合理性与恰当性；投入的设备、材料、施工主材及其他资源。</w:t>
      </w:r>
    </w:p>
    <w:p w14:paraId="313895A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4、质量保证方案</w:t>
      </w:r>
    </w:p>
    <w:p w14:paraId="088E7BE1">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供应商应制定合理完善的质量保证方案，按照国家有关要求及本项目实际情况，最大限度的保证本项目所购设备、及施工的质保期内外均可以连续、稳定运行、展览。</w:t>
      </w:r>
    </w:p>
    <w:p w14:paraId="0DCBE87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5、安全应急方案</w:t>
      </w:r>
    </w:p>
    <w:p w14:paraId="05A89D8C">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供应商能够针对各类紧急、突发情况提供解决预案，妥善处理各种应急情况。</w:t>
      </w:r>
    </w:p>
    <w:p w14:paraId="0E9B30B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6、施工方案</w:t>
      </w:r>
    </w:p>
    <w:p w14:paraId="58B82F4C">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供应商根据展览要求提供符合要求的施工方案，保证项目的施工安全。</w:t>
      </w:r>
    </w:p>
    <w:p w14:paraId="30706C0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7、进度保障组织方案</w:t>
      </w:r>
    </w:p>
    <w:p w14:paraId="3CF09EE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    供应商应制定合理可行的进度保障组织方案，通过优化组织程序，提高工作效率、加强进度控制保障等多种手段，确保项目能按期完成。</w:t>
      </w:r>
    </w:p>
    <w:p w14:paraId="638615FD">
      <w:pPr>
        <w:spacing w:line="360" w:lineRule="auto"/>
        <w:jc w:val="left"/>
        <w:rPr>
          <w:rFonts w:ascii="仿宋_GB2312" w:hAnsi="仿宋_GB2312" w:eastAsia="仿宋_GB2312" w:cs="仿宋_GB2312"/>
          <w:sz w:val="24"/>
        </w:rPr>
      </w:pPr>
    </w:p>
    <w:p w14:paraId="51F4030E">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（二）项目团队要求</w:t>
      </w:r>
    </w:p>
    <w:p w14:paraId="0BAF1F13">
      <w:pPr>
        <w:spacing w:line="360" w:lineRule="auto"/>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供应商应结合项目需求，组建专门的服务团队，提供合理的人员组织方案，服务团队人员配备齐全，具备专业能力，能够提供本项目包括概念设计、深化设计、展览施工、布展、整改等全部流程工作。</w:t>
      </w:r>
      <w:r>
        <w:rPr>
          <w:rFonts w:hint="eastAsia" w:ascii="仿宋_GB2312" w:hAnsi="仿宋_GB2312" w:eastAsia="仿宋_GB2312" w:cs="仿宋_GB2312"/>
          <w:sz w:val="24"/>
          <w:szCs w:val="24"/>
        </w:rPr>
        <w:t>项目实施实施期间，供应商需委派项目经理、相关专业设计师及技术人员驻场工作</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其中</w:t>
      </w:r>
      <w:r>
        <w:rPr>
          <w:rFonts w:hint="eastAsia" w:ascii="仿宋_GB2312" w:hAnsi="仿宋_GB2312" w:eastAsia="仿宋_GB2312" w:cs="仿宋_GB2312"/>
          <w:sz w:val="24"/>
        </w:rPr>
        <w:t>项目经理、总设计师需全程驻场，其他人员需根据</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sz w:val="24"/>
        </w:rPr>
        <w:t>要求时间驻场</w:t>
      </w:r>
      <w:r>
        <w:rPr>
          <w:rFonts w:hint="eastAsia" w:ascii="仿宋_GB2312" w:hAnsi="仿宋_GB2312" w:eastAsia="仿宋_GB2312" w:cs="仿宋_GB2312"/>
          <w:sz w:val="24"/>
          <w:lang w:eastAsia="zh-CN"/>
        </w:rPr>
        <w:t>。</w:t>
      </w:r>
    </w:p>
    <w:p w14:paraId="5E44EEC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服务团队基本要求为：</w:t>
      </w:r>
    </w:p>
    <w:p w14:paraId="36F245D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1、项目经理要求</w:t>
      </w:r>
    </w:p>
    <w:p w14:paraId="3AD3DDC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（1）项目经理1名，负责总体接洽，要求如下：</w:t>
      </w:r>
    </w:p>
    <w:p w14:paraId="44458E8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★整个服务期间不得更换项目经理，且在本项目竣工验收之前该项目经理不得同时担任其它在建项目的项目经理。</w:t>
      </w:r>
    </w:p>
    <w:p w14:paraId="3F76525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审核依据：需在响应文件中提供相关承诺函并加盖供应商公章，格式自拟；承诺函内容应包含：我公司承诺，如成交，整个服务期间，本文件中列明的项目经理不更换，在本项目竣工验收之前该项目经理不同时担任其它在建项目的项目经理；如遇不可抗力等原因，我公司将以书面形式与采购人协商，经采购人同意后方可更换。</w:t>
      </w:r>
    </w:p>
    <w:p w14:paraId="2D1EB58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★（2）项目经理具备建筑工程贰级（含）以上注册建造师执业资格；具备有效的安全生产考核合格证书（B本）或省级住房和城乡建设主管部门发布的电子化安全生产考核合格证书。</w:t>
      </w:r>
    </w:p>
    <w:p w14:paraId="6A7E235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审核依据：需在响应文件中提供项目经理上述证书复印件并加盖供应商公章。</w:t>
      </w:r>
    </w:p>
    <w:p w14:paraId="4E28EA4A">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rPr>
        <w:t>2、1名总体设计师（具有工艺美术或文博系列高级职称），进行空间设计并与采购</w:t>
      </w:r>
      <w:r>
        <w:rPr>
          <w:rFonts w:hint="eastAsia" w:ascii="仿宋_GB2312" w:hAnsi="仿宋_GB2312" w:eastAsia="仿宋_GB2312" w:cs="仿宋_GB2312"/>
          <w:sz w:val="24"/>
          <w:szCs w:val="24"/>
        </w:rPr>
        <w:t>人展览主创接洽。</w:t>
      </w:r>
    </w:p>
    <w:p w14:paraId="5D27ACF9">
      <w:pPr>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3、其他专业人员包括但不限于：</w:t>
      </w:r>
    </w:p>
    <w:p w14:paraId="6EED874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szCs w:val="24"/>
        </w:rPr>
        <w:t>2名柜内设计师，进行文物</w:t>
      </w:r>
      <w:r>
        <w:rPr>
          <w:rFonts w:hint="eastAsia" w:ascii="仿宋_GB2312" w:hAnsi="仿宋_GB2312" w:eastAsia="仿宋_GB2312" w:cs="仿宋_GB2312"/>
          <w:sz w:val="24"/>
        </w:rPr>
        <w:t>点位和柜内展托展具的设计；</w:t>
      </w:r>
    </w:p>
    <w:p w14:paraId="5AC61C8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1名施工图设计师绘制施工图纸并与施工现场沟通；</w:t>
      </w:r>
    </w:p>
    <w:p w14:paraId="528DF9A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1名3D设计师绘制效果图；</w:t>
      </w:r>
    </w:p>
    <w:p w14:paraId="1EBBDF3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3名平面设计师进行广告、开幕式背板、展板、说明牌等项目的设计，并配合方案汇报、线上宣传进行相关项目的设计；</w:t>
      </w:r>
    </w:p>
    <w:p w14:paraId="3A8F4E70">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1名多媒体设计师，进行多媒体项目的设计；</w:t>
      </w:r>
    </w:p>
    <w:p w14:paraId="24F2A02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1名新媒体设计师，对展览进行线上的宣传推介和观众互动项目的设计。</w:t>
      </w:r>
    </w:p>
    <w:p w14:paraId="20639C97">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供应商需根据项目进展情况及采购人工作需求，对参与项目的人员进行补充和调剂。供应商成交后应提供本次项目施工和设计团队人员详细名单。</w:t>
      </w:r>
    </w:p>
    <w:p w14:paraId="7CE59BD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4、设计团队在服务期间根据采购人要求在采购人指定地点驻场办公，供应商需自备办公设备，采购人无法提供相关办公设备。</w:t>
      </w:r>
    </w:p>
    <w:p w14:paraId="7EB31F8B">
      <w:pPr>
        <w:spacing w:line="360" w:lineRule="auto"/>
        <w:ind w:firstLine="480" w:firstLineChars="200"/>
        <w:jc w:val="left"/>
        <w:rPr>
          <w:rFonts w:ascii="仿宋_GB2312" w:hAnsi="仿宋_GB2312" w:eastAsia="仿宋_GB2312" w:cs="仿宋_GB2312"/>
          <w:sz w:val="24"/>
        </w:rPr>
      </w:pPr>
    </w:p>
    <w:p w14:paraId="1A113AC2">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五、提交设计图纸的要求</w:t>
      </w:r>
    </w:p>
    <w:p w14:paraId="5E03ABA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1、整体要求</w:t>
      </w:r>
    </w:p>
    <w:p w14:paraId="21161921">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（1）形式设计必须基于展览大纲，准确表达大纲主题、全面地反映大纲内容，并进行延展与深入。</w:t>
      </w:r>
    </w:p>
    <w:p w14:paraId="273D6D97">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（2）形式设计和施工制作必须基于首都博物馆展厅及现有设备设施，必须完全符合文物保护的相关要求。</w:t>
      </w:r>
    </w:p>
    <w:p w14:paraId="2C87E7A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（4）形式设计必须对后续的制作工程有系统的指导作用，并应深入考虑其具体施工阶段的相关施工工艺及安装措施。</w:t>
      </w:r>
    </w:p>
    <w:p w14:paraId="27160CC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（5）展览海报的设计应与展厅设计风格一致。</w:t>
      </w:r>
    </w:p>
    <w:p w14:paraId="7209FBEA">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（6）供应商对后续施工阶段内容应进行重难点识别与分析，给出对应的应对措施及解决方案。</w:t>
      </w:r>
    </w:p>
    <w:p w14:paraId="1D650622">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2、提交设计文件的内容要求</w:t>
      </w:r>
    </w:p>
    <w:p w14:paraId="70A2174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（1）深化平面图、流线图、空间轴测图。</w:t>
      </w:r>
    </w:p>
    <w:p w14:paraId="1C51D02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（2）各重点空间效果图（不少于</w:t>
      </w:r>
      <w:r>
        <w:rPr>
          <w:rFonts w:ascii="仿宋_GB2312" w:hAnsi="仿宋_GB2312" w:eastAsia="仿宋_GB2312" w:cs="仿宋_GB2312"/>
          <w:sz w:val="24"/>
        </w:rPr>
        <w:t>12</w:t>
      </w:r>
      <w:r>
        <w:rPr>
          <w:rFonts w:hint="eastAsia" w:ascii="仿宋_GB2312" w:hAnsi="仿宋_GB2312" w:eastAsia="仿宋_GB2312" w:cs="仿宋_GB2312"/>
          <w:sz w:val="24"/>
        </w:rPr>
        <w:t>张），应包含序厅展标墙和重点场景的效果图（呈现效果需与实际场景比例尺寸匹配）。</w:t>
      </w:r>
    </w:p>
    <w:p w14:paraId="1911635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（3）立面设计图（各单元重点部位，每单元均应有设计，需标注明确相关部位的材料材质及安装工艺）。</w:t>
      </w:r>
    </w:p>
    <w:p w14:paraId="510E45D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（4）展标、前言、结语、部题、说明牌等文字版式以及各重点部位立面设计的图文版式设计图。</w:t>
      </w:r>
    </w:p>
    <w:p w14:paraId="1AC7BD11">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（5）新增特制展台、展柜、展托的结构设计图及相关构配件材质说明。</w:t>
      </w:r>
    </w:p>
    <w:p w14:paraId="125A59AC">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（6）多媒体展项的设计展示图及实现方式说明。</w:t>
      </w:r>
    </w:p>
    <w:p w14:paraId="2068E0D9">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（7）重点场景设计构想图及制作说明。</w:t>
      </w:r>
    </w:p>
    <w:p w14:paraId="61E76AC4">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（8）重要展品系统展示图、安装构想图及制作说明。</w:t>
      </w:r>
    </w:p>
    <w:p w14:paraId="1409D29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（9）展览海报的平面设计图。</w:t>
      </w:r>
    </w:p>
    <w:p w14:paraId="431667B5">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3、提交设计文件的数量要求</w:t>
      </w:r>
    </w:p>
    <w:p w14:paraId="0C089148">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（1）A3图纸册8套。</w:t>
      </w:r>
    </w:p>
    <w:p w14:paraId="3DF6662D">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（2）设计文档电子光盘1套。</w:t>
      </w:r>
    </w:p>
    <w:p w14:paraId="39EF1206">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注：供应商应于本合同签订生效后10个工作日内，按照采购人提供的项目说明等相关素材调整并深入设计并完成设计图。方案设计通过后，出实施图并编制本项目的实施组织方案等实施相关文件资料。经采购人审批签字后方可进入现场实施阶段，供应商应严格按图纸实施，不得私自改变相关实施内容，确保现场制作与实施图的一致性。</w:t>
      </w:r>
    </w:p>
    <w:p w14:paraId="650EB46E">
      <w:pPr>
        <w:spacing w:line="360" w:lineRule="auto"/>
        <w:jc w:val="left"/>
        <w:rPr>
          <w:rFonts w:ascii="仿宋_GB2312" w:hAnsi="仿宋_GB2312" w:eastAsia="仿宋_GB2312" w:cs="仿宋_GB2312"/>
          <w:sz w:val="24"/>
        </w:rPr>
      </w:pPr>
    </w:p>
    <w:p w14:paraId="1191A3FE">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六、知识产权要求</w:t>
      </w:r>
    </w:p>
    <w:p w14:paraId="37E392AB">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采购人对本项目提供的相关资料，不限于图纸、大纲、文物照片等，具有合法的知识产权及所有权。</w:t>
      </w:r>
    </w:p>
    <w:p w14:paraId="35E76CA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2、供应商</w:t>
      </w:r>
      <w:r>
        <w:rPr>
          <w:rFonts w:ascii="仿宋_GB2312" w:hAnsi="仿宋_GB2312" w:eastAsia="仿宋_GB2312" w:cs="仿宋_GB2312"/>
          <w:sz w:val="24"/>
        </w:rPr>
        <w:t>提供的与该项目有关的所有文件资料（包括但不限于图纸、图片等）均为其实际创作或拥有合法的知识产权</w:t>
      </w:r>
      <w:r>
        <w:rPr>
          <w:rFonts w:hint="eastAsia" w:ascii="仿宋_GB2312" w:hAnsi="仿宋_GB2312" w:eastAsia="仿宋_GB2312" w:cs="仿宋_GB2312"/>
          <w:sz w:val="24"/>
        </w:rPr>
        <w:t>及使用权利</w:t>
      </w:r>
      <w:r>
        <w:rPr>
          <w:rFonts w:ascii="仿宋_GB2312" w:hAnsi="仿宋_GB2312" w:eastAsia="仿宋_GB2312" w:cs="仿宋_GB2312"/>
          <w:sz w:val="24"/>
        </w:rPr>
        <w:t>。</w:t>
      </w:r>
    </w:p>
    <w:p w14:paraId="53469673">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3、成交供应商</w:t>
      </w:r>
      <w:r>
        <w:rPr>
          <w:rFonts w:ascii="仿宋_GB2312" w:hAnsi="仿宋_GB2312" w:eastAsia="仿宋_GB2312" w:cs="仿宋_GB2312"/>
          <w:sz w:val="24"/>
        </w:rPr>
        <w:t>在与采购人签订成交合同后，其所有与项目有关的文件资料的所有权及知识产权自动转移至采购人合法拥有。</w:t>
      </w:r>
    </w:p>
    <w:p w14:paraId="0DC026FB">
      <w:pPr>
        <w:spacing w:line="360" w:lineRule="auto"/>
        <w:jc w:val="left"/>
        <w:rPr>
          <w:rFonts w:ascii="仿宋_GB2312" w:hAnsi="仿宋_GB2312" w:eastAsia="仿宋_GB2312" w:cs="仿宋_GB2312"/>
          <w:sz w:val="24"/>
        </w:rPr>
      </w:pPr>
    </w:p>
    <w:p w14:paraId="58E14BF6">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七、</w:t>
      </w:r>
      <w:r>
        <w:rPr>
          <w:rFonts w:ascii="仿宋_GB2312" w:hAnsi="仿宋_GB2312" w:eastAsia="仿宋_GB2312" w:cs="仿宋_GB2312"/>
          <w:b/>
          <w:bCs/>
          <w:sz w:val="24"/>
        </w:rPr>
        <w:t>保密要求</w:t>
      </w:r>
    </w:p>
    <w:p w14:paraId="769DD066">
      <w:pPr>
        <w:spacing w:line="360" w:lineRule="auto"/>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本项目采购人提供的相关资料</w:t>
      </w:r>
      <w:r>
        <w:rPr>
          <w:rFonts w:hint="eastAsia" w:ascii="仿宋_GB2312" w:hAnsi="仿宋_GB2312" w:eastAsia="仿宋_GB2312" w:cs="仿宋_GB2312"/>
          <w:sz w:val="24"/>
        </w:rPr>
        <w:t>及所有信息资源</w:t>
      </w:r>
      <w:r>
        <w:rPr>
          <w:rFonts w:ascii="仿宋_GB2312" w:hAnsi="仿宋_GB2312" w:eastAsia="仿宋_GB2312" w:cs="仿宋_GB2312"/>
          <w:sz w:val="24"/>
        </w:rPr>
        <w:t>，不限于图纸、大纲、文物照片等，均为保密信息，</w:t>
      </w:r>
      <w:r>
        <w:rPr>
          <w:rFonts w:hint="eastAsia" w:ascii="仿宋_GB2312" w:hAnsi="仿宋_GB2312" w:eastAsia="仿宋_GB2312" w:cs="仿宋_GB2312"/>
          <w:sz w:val="24"/>
        </w:rPr>
        <w:t>供应商具有保密义务，</w:t>
      </w:r>
      <w:r>
        <w:rPr>
          <w:rFonts w:ascii="仿宋_GB2312" w:hAnsi="仿宋_GB2312" w:eastAsia="仿宋_GB2312" w:cs="仿宋_GB2312"/>
          <w:sz w:val="24"/>
        </w:rPr>
        <w:t>不得溢出和扩散，如</w:t>
      </w:r>
      <w:r>
        <w:rPr>
          <w:rFonts w:hint="eastAsia" w:ascii="仿宋_GB2312" w:hAnsi="仿宋_GB2312" w:eastAsia="仿宋_GB2312" w:cs="仿宋_GB2312"/>
          <w:sz w:val="24"/>
        </w:rPr>
        <w:t>未经采购人书面同意，由供应商溢出或扩散以上保密信息</w:t>
      </w:r>
      <w:r>
        <w:rPr>
          <w:rFonts w:ascii="仿宋_GB2312" w:hAnsi="仿宋_GB2312" w:eastAsia="仿宋_GB2312" w:cs="仿宋_GB2312"/>
          <w:sz w:val="24"/>
        </w:rPr>
        <w:t>，</w:t>
      </w:r>
      <w:r>
        <w:rPr>
          <w:rFonts w:hint="eastAsia" w:ascii="仿宋_GB2312" w:hAnsi="仿宋_GB2312" w:eastAsia="仿宋_GB2312" w:cs="仿宋_GB2312"/>
          <w:sz w:val="24"/>
        </w:rPr>
        <w:t>采购人有权</w:t>
      </w:r>
      <w:r>
        <w:rPr>
          <w:rFonts w:ascii="仿宋_GB2312" w:hAnsi="仿宋_GB2312" w:eastAsia="仿宋_GB2312" w:cs="仿宋_GB2312"/>
          <w:sz w:val="24"/>
        </w:rPr>
        <w:t>追究</w:t>
      </w:r>
      <w:r>
        <w:rPr>
          <w:rFonts w:hint="eastAsia" w:ascii="仿宋_GB2312" w:hAnsi="仿宋_GB2312" w:eastAsia="仿宋_GB2312" w:cs="仿宋_GB2312"/>
          <w:sz w:val="24"/>
        </w:rPr>
        <w:t>供应商的法律</w:t>
      </w:r>
      <w:r>
        <w:rPr>
          <w:rFonts w:ascii="仿宋_GB2312" w:hAnsi="仿宋_GB2312" w:eastAsia="仿宋_GB2312" w:cs="仿宋_GB2312"/>
          <w:sz w:val="24"/>
        </w:rPr>
        <w:t>责任。</w:t>
      </w:r>
    </w:p>
    <w:p w14:paraId="14CDD4BB"/>
    <w:p w14:paraId="10D90196">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八、其他要求</w:t>
      </w:r>
    </w:p>
    <w:p w14:paraId="7108AB83">
      <w:pPr>
        <w:spacing w:line="360" w:lineRule="auto"/>
        <w:ind w:firstLine="480" w:firstLineChars="200"/>
        <w:jc w:val="left"/>
      </w:pPr>
      <w:r>
        <w:rPr>
          <w:rFonts w:ascii="仿宋_GB2312" w:hAnsi="仿宋_GB2312" w:eastAsia="仿宋_GB2312" w:cs="仿宋_GB2312"/>
          <w:sz w:val="24"/>
        </w:rPr>
        <w:t>供应商近三年（合同签订日期自2022年4月1日至今）具备</w:t>
      </w:r>
      <w:r>
        <w:rPr>
          <w:rFonts w:hint="eastAsia" w:ascii="仿宋_GB2312" w:hAnsi="仿宋_GB2312" w:eastAsia="仿宋_GB2312" w:cs="仿宋_GB2312"/>
          <w:sz w:val="24"/>
        </w:rPr>
        <w:t>文物</w:t>
      </w:r>
      <w:r>
        <w:rPr>
          <w:rFonts w:ascii="仿宋_GB2312" w:hAnsi="仿宋_GB2312" w:eastAsia="仿宋_GB2312" w:cs="仿宋_GB2312"/>
          <w:sz w:val="24"/>
        </w:rPr>
        <w:t>布展的类似项目经验，可在响应文件中提供证明材料。</w:t>
      </w:r>
    </w:p>
    <w:p w14:paraId="0D94FF47">
      <w:pPr>
        <w:sectPr>
          <w:headerReference r:id="rId3" w:type="default"/>
          <w:footerReference r:id="rId4" w:type="default"/>
          <w:pgSz w:w="11906" w:h="16838"/>
          <w:pgMar w:top="1247" w:right="1587" w:bottom="1247" w:left="1587" w:header="850" w:footer="850" w:gutter="0"/>
          <w:cols w:space="720" w:num="1"/>
          <w:docGrid w:linePitch="462" w:charSpace="0"/>
        </w:sectPr>
      </w:pPr>
    </w:p>
    <w:bookmarkEnd w:id="2"/>
    <w:bookmarkEnd w:id="3"/>
    <w:bookmarkEnd w:id="4"/>
    <w:bookmarkEnd w:id="5"/>
    <w:bookmarkEnd w:id="6"/>
    <w:bookmarkEnd w:id="7"/>
    <w:bookmarkEnd w:id="8"/>
    <w:bookmarkEnd w:id="9"/>
    <w:p w14:paraId="12769CAC">
      <w:pPr>
        <w:rPr>
          <w:rFonts w:ascii="仿宋_GB2312" w:hAnsi="仿宋_GB2312" w:eastAsia="仿宋_GB2312" w:cs="仿宋_GB2312"/>
          <w:sz w:val="24"/>
          <w:highlight w:val="magenta"/>
        </w:rPr>
      </w:pPr>
    </w:p>
    <w:sectPr>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11BF">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8350D">
                          <w:pPr>
                            <w:pStyle w:val="2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C8350D">
                    <w:pPr>
                      <w:pStyle w:val="26"/>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p w14:paraId="33B79970">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FA7E">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4"/>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2"/>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4"/>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03478"/>
    <w:rsid w:val="000911CD"/>
    <w:rsid w:val="000B54A5"/>
    <w:rsid w:val="000D1A0E"/>
    <w:rsid w:val="000E0336"/>
    <w:rsid w:val="0010154D"/>
    <w:rsid w:val="0010418D"/>
    <w:rsid w:val="001062B2"/>
    <w:rsid w:val="00106F4C"/>
    <w:rsid w:val="00161901"/>
    <w:rsid w:val="00165B34"/>
    <w:rsid w:val="0017083B"/>
    <w:rsid w:val="00172A27"/>
    <w:rsid w:val="00180D0B"/>
    <w:rsid w:val="00196B1D"/>
    <w:rsid w:val="001A4EA7"/>
    <w:rsid w:val="001C1F28"/>
    <w:rsid w:val="001C7A28"/>
    <w:rsid w:val="001D0543"/>
    <w:rsid w:val="001F19F4"/>
    <w:rsid w:val="001F381C"/>
    <w:rsid w:val="001F64F9"/>
    <w:rsid w:val="00200AE4"/>
    <w:rsid w:val="0020384E"/>
    <w:rsid w:val="00205860"/>
    <w:rsid w:val="00205FB6"/>
    <w:rsid w:val="00217FB1"/>
    <w:rsid w:val="00232D27"/>
    <w:rsid w:val="002330CF"/>
    <w:rsid w:val="002379D6"/>
    <w:rsid w:val="002408FF"/>
    <w:rsid w:val="00251770"/>
    <w:rsid w:val="00270CFB"/>
    <w:rsid w:val="00281F0D"/>
    <w:rsid w:val="00295176"/>
    <w:rsid w:val="002B2998"/>
    <w:rsid w:val="002B4838"/>
    <w:rsid w:val="002C752B"/>
    <w:rsid w:val="002C7B24"/>
    <w:rsid w:val="002D1772"/>
    <w:rsid w:val="002E22CF"/>
    <w:rsid w:val="00320670"/>
    <w:rsid w:val="0033008E"/>
    <w:rsid w:val="003342DE"/>
    <w:rsid w:val="0034566F"/>
    <w:rsid w:val="00350795"/>
    <w:rsid w:val="00360FB3"/>
    <w:rsid w:val="003C028D"/>
    <w:rsid w:val="003C351D"/>
    <w:rsid w:val="003C6295"/>
    <w:rsid w:val="003C680C"/>
    <w:rsid w:val="003D32AD"/>
    <w:rsid w:val="003D5844"/>
    <w:rsid w:val="003E046D"/>
    <w:rsid w:val="003F0683"/>
    <w:rsid w:val="004252E6"/>
    <w:rsid w:val="0043076B"/>
    <w:rsid w:val="00447A41"/>
    <w:rsid w:val="00477502"/>
    <w:rsid w:val="004815B4"/>
    <w:rsid w:val="00486132"/>
    <w:rsid w:val="00494684"/>
    <w:rsid w:val="004B0B1C"/>
    <w:rsid w:val="004B4EBD"/>
    <w:rsid w:val="004D0926"/>
    <w:rsid w:val="004D6C20"/>
    <w:rsid w:val="004E039A"/>
    <w:rsid w:val="004E59F5"/>
    <w:rsid w:val="00507308"/>
    <w:rsid w:val="005074D9"/>
    <w:rsid w:val="00514CD6"/>
    <w:rsid w:val="00536F33"/>
    <w:rsid w:val="00570B99"/>
    <w:rsid w:val="00584238"/>
    <w:rsid w:val="00584653"/>
    <w:rsid w:val="00590A2E"/>
    <w:rsid w:val="00595BE8"/>
    <w:rsid w:val="005A11C4"/>
    <w:rsid w:val="005C262D"/>
    <w:rsid w:val="005D0DA9"/>
    <w:rsid w:val="00616576"/>
    <w:rsid w:val="00617F8C"/>
    <w:rsid w:val="00626005"/>
    <w:rsid w:val="006412B6"/>
    <w:rsid w:val="006425A4"/>
    <w:rsid w:val="0064455E"/>
    <w:rsid w:val="00655160"/>
    <w:rsid w:val="006A0182"/>
    <w:rsid w:val="006A2F52"/>
    <w:rsid w:val="006C0FB7"/>
    <w:rsid w:val="006E0168"/>
    <w:rsid w:val="007029AC"/>
    <w:rsid w:val="0070708C"/>
    <w:rsid w:val="007312D3"/>
    <w:rsid w:val="007312DF"/>
    <w:rsid w:val="00731D7D"/>
    <w:rsid w:val="00742E23"/>
    <w:rsid w:val="007457A9"/>
    <w:rsid w:val="007470F1"/>
    <w:rsid w:val="007C5BBA"/>
    <w:rsid w:val="007C5F67"/>
    <w:rsid w:val="007D5A12"/>
    <w:rsid w:val="007D7787"/>
    <w:rsid w:val="007E4A25"/>
    <w:rsid w:val="007F7C62"/>
    <w:rsid w:val="00803623"/>
    <w:rsid w:val="00820675"/>
    <w:rsid w:val="00824A41"/>
    <w:rsid w:val="008450C1"/>
    <w:rsid w:val="008607E1"/>
    <w:rsid w:val="00864DFB"/>
    <w:rsid w:val="00896235"/>
    <w:rsid w:val="008C17B2"/>
    <w:rsid w:val="008E3E3F"/>
    <w:rsid w:val="008F3D6F"/>
    <w:rsid w:val="009310FD"/>
    <w:rsid w:val="00944C1A"/>
    <w:rsid w:val="00944DAB"/>
    <w:rsid w:val="00946CD1"/>
    <w:rsid w:val="009479D9"/>
    <w:rsid w:val="009737E2"/>
    <w:rsid w:val="0098167E"/>
    <w:rsid w:val="009875CA"/>
    <w:rsid w:val="00995122"/>
    <w:rsid w:val="009979FB"/>
    <w:rsid w:val="009C143E"/>
    <w:rsid w:val="009D6DEF"/>
    <w:rsid w:val="009E5EFB"/>
    <w:rsid w:val="009F2510"/>
    <w:rsid w:val="009F2A4D"/>
    <w:rsid w:val="00A23F6B"/>
    <w:rsid w:val="00A4687E"/>
    <w:rsid w:val="00A56637"/>
    <w:rsid w:val="00A76984"/>
    <w:rsid w:val="00A935E3"/>
    <w:rsid w:val="00AA05E1"/>
    <w:rsid w:val="00AA23EE"/>
    <w:rsid w:val="00AB2A71"/>
    <w:rsid w:val="00AC7241"/>
    <w:rsid w:val="00AF24DD"/>
    <w:rsid w:val="00B03BE7"/>
    <w:rsid w:val="00B0702B"/>
    <w:rsid w:val="00B243E2"/>
    <w:rsid w:val="00B26BB1"/>
    <w:rsid w:val="00B320B7"/>
    <w:rsid w:val="00B42EF4"/>
    <w:rsid w:val="00B46F4F"/>
    <w:rsid w:val="00B5032E"/>
    <w:rsid w:val="00B657A4"/>
    <w:rsid w:val="00B7387B"/>
    <w:rsid w:val="00B9670F"/>
    <w:rsid w:val="00BA0D32"/>
    <w:rsid w:val="00BC5E6F"/>
    <w:rsid w:val="00BF0F31"/>
    <w:rsid w:val="00C0700B"/>
    <w:rsid w:val="00C12860"/>
    <w:rsid w:val="00C270B2"/>
    <w:rsid w:val="00C40651"/>
    <w:rsid w:val="00C91E65"/>
    <w:rsid w:val="00CA0FD6"/>
    <w:rsid w:val="00CA4258"/>
    <w:rsid w:val="00CC6DFF"/>
    <w:rsid w:val="00CF083E"/>
    <w:rsid w:val="00D12553"/>
    <w:rsid w:val="00D1270B"/>
    <w:rsid w:val="00D12D9E"/>
    <w:rsid w:val="00D40ECC"/>
    <w:rsid w:val="00D47630"/>
    <w:rsid w:val="00D5292D"/>
    <w:rsid w:val="00D724A9"/>
    <w:rsid w:val="00D914DF"/>
    <w:rsid w:val="00DA06DC"/>
    <w:rsid w:val="00DA343E"/>
    <w:rsid w:val="00DD1AE8"/>
    <w:rsid w:val="00DD3FA8"/>
    <w:rsid w:val="00DE5886"/>
    <w:rsid w:val="00DF01F6"/>
    <w:rsid w:val="00DF669F"/>
    <w:rsid w:val="00DF79E5"/>
    <w:rsid w:val="00E03F2D"/>
    <w:rsid w:val="00E041FD"/>
    <w:rsid w:val="00E21DFE"/>
    <w:rsid w:val="00E27D1E"/>
    <w:rsid w:val="00E32A01"/>
    <w:rsid w:val="00E350CE"/>
    <w:rsid w:val="00E41B6E"/>
    <w:rsid w:val="00E61BE3"/>
    <w:rsid w:val="00E73B88"/>
    <w:rsid w:val="00E8507D"/>
    <w:rsid w:val="00E92236"/>
    <w:rsid w:val="00EA760C"/>
    <w:rsid w:val="00EB1017"/>
    <w:rsid w:val="00EB6DD8"/>
    <w:rsid w:val="00EB70FC"/>
    <w:rsid w:val="00EC143A"/>
    <w:rsid w:val="00ED361D"/>
    <w:rsid w:val="00EE5762"/>
    <w:rsid w:val="00EF70E9"/>
    <w:rsid w:val="00F048C9"/>
    <w:rsid w:val="00F20BBD"/>
    <w:rsid w:val="00F25D29"/>
    <w:rsid w:val="00F40156"/>
    <w:rsid w:val="00F54EC6"/>
    <w:rsid w:val="00F747AB"/>
    <w:rsid w:val="00F747D1"/>
    <w:rsid w:val="00FA73CF"/>
    <w:rsid w:val="00FD3F85"/>
    <w:rsid w:val="00FF0881"/>
    <w:rsid w:val="0133519F"/>
    <w:rsid w:val="01E96C2E"/>
    <w:rsid w:val="0252697B"/>
    <w:rsid w:val="02C43119"/>
    <w:rsid w:val="02EB37ED"/>
    <w:rsid w:val="032E5B18"/>
    <w:rsid w:val="03744B40"/>
    <w:rsid w:val="038469CC"/>
    <w:rsid w:val="04246559"/>
    <w:rsid w:val="04492F15"/>
    <w:rsid w:val="04C8726E"/>
    <w:rsid w:val="04E01320"/>
    <w:rsid w:val="051852FC"/>
    <w:rsid w:val="055B7792"/>
    <w:rsid w:val="05B55818"/>
    <w:rsid w:val="0649045C"/>
    <w:rsid w:val="06864766"/>
    <w:rsid w:val="06A168EC"/>
    <w:rsid w:val="06FA3A19"/>
    <w:rsid w:val="07102A3C"/>
    <w:rsid w:val="07C74E19"/>
    <w:rsid w:val="07EE658E"/>
    <w:rsid w:val="07F3748A"/>
    <w:rsid w:val="089808CE"/>
    <w:rsid w:val="089937A0"/>
    <w:rsid w:val="091266F1"/>
    <w:rsid w:val="09B74E58"/>
    <w:rsid w:val="09FC086D"/>
    <w:rsid w:val="0A1E3055"/>
    <w:rsid w:val="0AD95317"/>
    <w:rsid w:val="0B03361E"/>
    <w:rsid w:val="0B09187C"/>
    <w:rsid w:val="0B0A0CAF"/>
    <w:rsid w:val="0B517029"/>
    <w:rsid w:val="0B887700"/>
    <w:rsid w:val="0B991F50"/>
    <w:rsid w:val="0BC56CE3"/>
    <w:rsid w:val="0C1B40EA"/>
    <w:rsid w:val="0C5F2699"/>
    <w:rsid w:val="0C945850"/>
    <w:rsid w:val="0C9D2606"/>
    <w:rsid w:val="0CDF6EEF"/>
    <w:rsid w:val="0D555318"/>
    <w:rsid w:val="0E1023A7"/>
    <w:rsid w:val="0E4C5684"/>
    <w:rsid w:val="0E6C6D83"/>
    <w:rsid w:val="0E922575"/>
    <w:rsid w:val="0EA53683"/>
    <w:rsid w:val="0EA76C97"/>
    <w:rsid w:val="0ECE7EB4"/>
    <w:rsid w:val="0F02625A"/>
    <w:rsid w:val="0F1D3579"/>
    <w:rsid w:val="0F1D5AC9"/>
    <w:rsid w:val="0F6925D8"/>
    <w:rsid w:val="0FEB39D9"/>
    <w:rsid w:val="102C0118"/>
    <w:rsid w:val="10BF3B64"/>
    <w:rsid w:val="10EF7E56"/>
    <w:rsid w:val="11146D91"/>
    <w:rsid w:val="1180092C"/>
    <w:rsid w:val="11AC3A8C"/>
    <w:rsid w:val="11CF5473"/>
    <w:rsid w:val="11E406EB"/>
    <w:rsid w:val="120F4E5E"/>
    <w:rsid w:val="1295376D"/>
    <w:rsid w:val="12A14707"/>
    <w:rsid w:val="12FD7F36"/>
    <w:rsid w:val="13A011AE"/>
    <w:rsid w:val="13A07E66"/>
    <w:rsid w:val="13E55FA7"/>
    <w:rsid w:val="143409EE"/>
    <w:rsid w:val="14464901"/>
    <w:rsid w:val="149154CD"/>
    <w:rsid w:val="14A02B65"/>
    <w:rsid w:val="15507D3C"/>
    <w:rsid w:val="15536E33"/>
    <w:rsid w:val="156766B2"/>
    <w:rsid w:val="164A731D"/>
    <w:rsid w:val="16633BBC"/>
    <w:rsid w:val="168B428F"/>
    <w:rsid w:val="16AE10F1"/>
    <w:rsid w:val="16FC3A57"/>
    <w:rsid w:val="174A1D76"/>
    <w:rsid w:val="176D19FF"/>
    <w:rsid w:val="179775F2"/>
    <w:rsid w:val="17F31424"/>
    <w:rsid w:val="17FD7FE9"/>
    <w:rsid w:val="18191B17"/>
    <w:rsid w:val="182B52BA"/>
    <w:rsid w:val="188D655F"/>
    <w:rsid w:val="18CC57EB"/>
    <w:rsid w:val="18F42D4D"/>
    <w:rsid w:val="190A6EA1"/>
    <w:rsid w:val="193A79F0"/>
    <w:rsid w:val="196C5C41"/>
    <w:rsid w:val="197874D5"/>
    <w:rsid w:val="1A053F7B"/>
    <w:rsid w:val="1A1B1635"/>
    <w:rsid w:val="1A2F7657"/>
    <w:rsid w:val="1A5E42D0"/>
    <w:rsid w:val="1ABB7CCD"/>
    <w:rsid w:val="1AEE52D3"/>
    <w:rsid w:val="1B0E6672"/>
    <w:rsid w:val="1B45757A"/>
    <w:rsid w:val="1B9F015F"/>
    <w:rsid w:val="1C27374C"/>
    <w:rsid w:val="1C517F83"/>
    <w:rsid w:val="1D214DD8"/>
    <w:rsid w:val="1D614C26"/>
    <w:rsid w:val="1E54298F"/>
    <w:rsid w:val="1E6B3AF5"/>
    <w:rsid w:val="1E84750B"/>
    <w:rsid w:val="1ED2479E"/>
    <w:rsid w:val="1F5F5687"/>
    <w:rsid w:val="1F680515"/>
    <w:rsid w:val="1FC112C6"/>
    <w:rsid w:val="2051065D"/>
    <w:rsid w:val="2096051C"/>
    <w:rsid w:val="216507D3"/>
    <w:rsid w:val="21F81989"/>
    <w:rsid w:val="21F92F33"/>
    <w:rsid w:val="22046BDF"/>
    <w:rsid w:val="222C6A9F"/>
    <w:rsid w:val="22565515"/>
    <w:rsid w:val="22755A1E"/>
    <w:rsid w:val="228F6690"/>
    <w:rsid w:val="22AF37F5"/>
    <w:rsid w:val="22D83C07"/>
    <w:rsid w:val="235467D7"/>
    <w:rsid w:val="23682514"/>
    <w:rsid w:val="2401349F"/>
    <w:rsid w:val="24F640B7"/>
    <w:rsid w:val="257265E7"/>
    <w:rsid w:val="25743484"/>
    <w:rsid w:val="25F954DB"/>
    <w:rsid w:val="26193812"/>
    <w:rsid w:val="26304DFC"/>
    <w:rsid w:val="266F2F1B"/>
    <w:rsid w:val="269D57AD"/>
    <w:rsid w:val="26C86E2D"/>
    <w:rsid w:val="26DE321A"/>
    <w:rsid w:val="270E5FCE"/>
    <w:rsid w:val="272207A9"/>
    <w:rsid w:val="27277595"/>
    <w:rsid w:val="27B91C39"/>
    <w:rsid w:val="27EE45A2"/>
    <w:rsid w:val="27F61A9E"/>
    <w:rsid w:val="28114E40"/>
    <w:rsid w:val="284A2313"/>
    <w:rsid w:val="2874236C"/>
    <w:rsid w:val="289F28C5"/>
    <w:rsid w:val="28C63D9A"/>
    <w:rsid w:val="28CC4FED"/>
    <w:rsid w:val="291E6775"/>
    <w:rsid w:val="2970130A"/>
    <w:rsid w:val="29F53A3D"/>
    <w:rsid w:val="2A6E122D"/>
    <w:rsid w:val="2AE95140"/>
    <w:rsid w:val="2B1B75D8"/>
    <w:rsid w:val="2B1C22F8"/>
    <w:rsid w:val="2B5454F9"/>
    <w:rsid w:val="2BB5553F"/>
    <w:rsid w:val="2BBC41F4"/>
    <w:rsid w:val="2BC924DB"/>
    <w:rsid w:val="2C13735F"/>
    <w:rsid w:val="2C1D4A63"/>
    <w:rsid w:val="2C2168F6"/>
    <w:rsid w:val="2CE80B95"/>
    <w:rsid w:val="2CEA09F6"/>
    <w:rsid w:val="2D4C6E88"/>
    <w:rsid w:val="2D50777B"/>
    <w:rsid w:val="2D5147E9"/>
    <w:rsid w:val="2DC61D56"/>
    <w:rsid w:val="2E245609"/>
    <w:rsid w:val="2E247FC2"/>
    <w:rsid w:val="2EC44488"/>
    <w:rsid w:val="2ED8336B"/>
    <w:rsid w:val="2F6544CE"/>
    <w:rsid w:val="2F9724A4"/>
    <w:rsid w:val="3085186C"/>
    <w:rsid w:val="30871DAD"/>
    <w:rsid w:val="30A722E1"/>
    <w:rsid w:val="30DA5FB3"/>
    <w:rsid w:val="30ED46AC"/>
    <w:rsid w:val="30FA0A66"/>
    <w:rsid w:val="31362044"/>
    <w:rsid w:val="313F4739"/>
    <w:rsid w:val="314D2A6F"/>
    <w:rsid w:val="31A124F9"/>
    <w:rsid w:val="31BC0B24"/>
    <w:rsid w:val="31D33B2A"/>
    <w:rsid w:val="33005939"/>
    <w:rsid w:val="331E35AF"/>
    <w:rsid w:val="333B009C"/>
    <w:rsid w:val="33471930"/>
    <w:rsid w:val="334B7980"/>
    <w:rsid w:val="33A928CE"/>
    <w:rsid w:val="33C137F8"/>
    <w:rsid w:val="33C4477D"/>
    <w:rsid w:val="34336FAF"/>
    <w:rsid w:val="34516008"/>
    <w:rsid w:val="34666505"/>
    <w:rsid w:val="34A02734"/>
    <w:rsid w:val="34DC77C8"/>
    <w:rsid w:val="34FD35C3"/>
    <w:rsid w:val="350B6C92"/>
    <w:rsid w:val="35366BDD"/>
    <w:rsid w:val="353A5F70"/>
    <w:rsid w:val="35820C6D"/>
    <w:rsid w:val="36367C0D"/>
    <w:rsid w:val="36777018"/>
    <w:rsid w:val="37041842"/>
    <w:rsid w:val="372A0AD7"/>
    <w:rsid w:val="379F0983"/>
    <w:rsid w:val="37A44758"/>
    <w:rsid w:val="37BB437D"/>
    <w:rsid w:val="3839223A"/>
    <w:rsid w:val="383E029A"/>
    <w:rsid w:val="386B4E07"/>
    <w:rsid w:val="387C327F"/>
    <w:rsid w:val="39A31C9F"/>
    <w:rsid w:val="39ED3ACF"/>
    <w:rsid w:val="3A1C460B"/>
    <w:rsid w:val="3A531BA9"/>
    <w:rsid w:val="3A684EE0"/>
    <w:rsid w:val="3A965A45"/>
    <w:rsid w:val="3ACC329D"/>
    <w:rsid w:val="3B1E59BD"/>
    <w:rsid w:val="3B6A56F7"/>
    <w:rsid w:val="3B6C748D"/>
    <w:rsid w:val="3BCD713C"/>
    <w:rsid w:val="3BF82E56"/>
    <w:rsid w:val="3C4F2D46"/>
    <w:rsid w:val="3C75753F"/>
    <w:rsid w:val="3CDF1734"/>
    <w:rsid w:val="3CEE3985"/>
    <w:rsid w:val="3D717DB4"/>
    <w:rsid w:val="3DB30974"/>
    <w:rsid w:val="3DEF0FAA"/>
    <w:rsid w:val="3E3B14AB"/>
    <w:rsid w:val="3E3B7489"/>
    <w:rsid w:val="3E3D6B2B"/>
    <w:rsid w:val="3E453F37"/>
    <w:rsid w:val="3E6853F0"/>
    <w:rsid w:val="3E863754"/>
    <w:rsid w:val="3EBE037D"/>
    <w:rsid w:val="3EBE0387"/>
    <w:rsid w:val="3EC76A8F"/>
    <w:rsid w:val="3F4725AC"/>
    <w:rsid w:val="403149DC"/>
    <w:rsid w:val="40667434"/>
    <w:rsid w:val="40961781"/>
    <w:rsid w:val="40D574B6"/>
    <w:rsid w:val="40DB6132"/>
    <w:rsid w:val="40F54BA3"/>
    <w:rsid w:val="410E6949"/>
    <w:rsid w:val="412C1E75"/>
    <w:rsid w:val="41DC2F5D"/>
    <w:rsid w:val="42314073"/>
    <w:rsid w:val="42CC53F2"/>
    <w:rsid w:val="42FF70F8"/>
    <w:rsid w:val="43252736"/>
    <w:rsid w:val="432F4189"/>
    <w:rsid w:val="436241CB"/>
    <w:rsid w:val="43B63024"/>
    <w:rsid w:val="44C147DB"/>
    <w:rsid w:val="450F7AD2"/>
    <w:rsid w:val="45154265"/>
    <w:rsid w:val="45355715"/>
    <w:rsid w:val="46267925"/>
    <w:rsid w:val="465626D6"/>
    <w:rsid w:val="4670321D"/>
    <w:rsid w:val="46B6099A"/>
    <w:rsid w:val="46BC369C"/>
    <w:rsid w:val="46D973C9"/>
    <w:rsid w:val="46F57441"/>
    <w:rsid w:val="47040343"/>
    <w:rsid w:val="47596A1D"/>
    <w:rsid w:val="476F5139"/>
    <w:rsid w:val="483D77C2"/>
    <w:rsid w:val="487657D3"/>
    <w:rsid w:val="493E0CCB"/>
    <w:rsid w:val="494574C2"/>
    <w:rsid w:val="497B6FF2"/>
    <w:rsid w:val="49894443"/>
    <w:rsid w:val="49AD5BED"/>
    <w:rsid w:val="49DA2C5A"/>
    <w:rsid w:val="49DE7B2F"/>
    <w:rsid w:val="49F266E1"/>
    <w:rsid w:val="4A6D27A8"/>
    <w:rsid w:val="4AA71688"/>
    <w:rsid w:val="4AC544BB"/>
    <w:rsid w:val="4AE2289C"/>
    <w:rsid w:val="4AEB2EAC"/>
    <w:rsid w:val="4B1A6144"/>
    <w:rsid w:val="4B26325B"/>
    <w:rsid w:val="4B48598E"/>
    <w:rsid w:val="4B6363E0"/>
    <w:rsid w:val="4BAB7C31"/>
    <w:rsid w:val="4BC230D9"/>
    <w:rsid w:val="4BC55ABF"/>
    <w:rsid w:val="4C251AF9"/>
    <w:rsid w:val="4C65221A"/>
    <w:rsid w:val="4C885B30"/>
    <w:rsid w:val="4C9B2B75"/>
    <w:rsid w:val="4CBA3672"/>
    <w:rsid w:val="4CC40836"/>
    <w:rsid w:val="4D020D1B"/>
    <w:rsid w:val="4D117D41"/>
    <w:rsid w:val="4D135DC3"/>
    <w:rsid w:val="4D40389F"/>
    <w:rsid w:val="4DF420F5"/>
    <w:rsid w:val="4E645C2C"/>
    <w:rsid w:val="4E880DD7"/>
    <w:rsid w:val="4E9E27A4"/>
    <w:rsid w:val="4EB15C4E"/>
    <w:rsid w:val="4ED1790C"/>
    <w:rsid w:val="4F07605B"/>
    <w:rsid w:val="4F4F5829"/>
    <w:rsid w:val="500130CE"/>
    <w:rsid w:val="50BC584E"/>
    <w:rsid w:val="50E0053E"/>
    <w:rsid w:val="50E75986"/>
    <w:rsid w:val="51322854"/>
    <w:rsid w:val="51C365B2"/>
    <w:rsid w:val="51DA6E2E"/>
    <w:rsid w:val="51E46AE7"/>
    <w:rsid w:val="5266163F"/>
    <w:rsid w:val="52C9784A"/>
    <w:rsid w:val="53FE5606"/>
    <w:rsid w:val="54724B97"/>
    <w:rsid w:val="548358BB"/>
    <w:rsid w:val="54FF3B64"/>
    <w:rsid w:val="556F2863"/>
    <w:rsid w:val="558F53B9"/>
    <w:rsid w:val="55BB5001"/>
    <w:rsid w:val="56080DB4"/>
    <w:rsid w:val="560F104C"/>
    <w:rsid w:val="562767E7"/>
    <w:rsid w:val="56594A37"/>
    <w:rsid w:val="56666EE2"/>
    <w:rsid w:val="56CF7EF9"/>
    <w:rsid w:val="56FA45C0"/>
    <w:rsid w:val="570B0710"/>
    <w:rsid w:val="57283359"/>
    <w:rsid w:val="57301217"/>
    <w:rsid w:val="57AE039A"/>
    <w:rsid w:val="57B34CC5"/>
    <w:rsid w:val="57BF5603"/>
    <w:rsid w:val="57E37910"/>
    <w:rsid w:val="57EA2AD2"/>
    <w:rsid w:val="57FC4542"/>
    <w:rsid w:val="586C6A21"/>
    <w:rsid w:val="59024996"/>
    <w:rsid w:val="596E1AC6"/>
    <w:rsid w:val="5A3572F7"/>
    <w:rsid w:val="5A600155"/>
    <w:rsid w:val="5A623658"/>
    <w:rsid w:val="5A864B12"/>
    <w:rsid w:val="5A865DA5"/>
    <w:rsid w:val="5A964DAC"/>
    <w:rsid w:val="5AA65677"/>
    <w:rsid w:val="5AD145A8"/>
    <w:rsid w:val="5AEF3F5C"/>
    <w:rsid w:val="5B133AED"/>
    <w:rsid w:val="5B600BE4"/>
    <w:rsid w:val="5B84122A"/>
    <w:rsid w:val="5BAA7AB6"/>
    <w:rsid w:val="5CFD206A"/>
    <w:rsid w:val="5D1570A9"/>
    <w:rsid w:val="5DC46AF0"/>
    <w:rsid w:val="5DD70328"/>
    <w:rsid w:val="5E02284A"/>
    <w:rsid w:val="5E0D2DD9"/>
    <w:rsid w:val="5E69675B"/>
    <w:rsid w:val="5EC4038A"/>
    <w:rsid w:val="5EE81843"/>
    <w:rsid w:val="5F1B2C24"/>
    <w:rsid w:val="5F50427D"/>
    <w:rsid w:val="5FB11391"/>
    <w:rsid w:val="5FB844E0"/>
    <w:rsid w:val="5FBE3E4A"/>
    <w:rsid w:val="60955C44"/>
    <w:rsid w:val="60A80276"/>
    <w:rsid w:val="61032E37"/>
    <w:rsid w:val="6142291C"/>
    <w:rsid w:val="614A42B9"/>
    <w:rsid w:val="614B322B"/>
    <w:rsid w:val="61B72394"/>
    <w:rsid w:val="61B9175B"/>
    <w:rsid w:val="61BE67B4"/>
    <w:rsid w:val="62030197"/>
    <w:rsid w:val="629B1C54"/>
    <w:rsid w:val="62A323F2"/>
    <w:rsid w:val="62A63745"/>
    <w:rsid w:val="62DA4EE0"/>
    <w:rsid w:val="63180ED9"/>
    <w:rsid w:val="636B232C"/>
    <w:rsid w:val="63DC38E5"/>
    <w:rsid w:val="63FB6398"/>
    <w:rsid w:val="641920C5"/>
    <w:rsid w:val="64657FC6"/>
    <w:rsid w:val="64DB5A06"/>
    <w:rsid w:val="658E7693"/>
    <w:rsid w:val="65B66C35"/>
    <w:rsid w:val="65D95929"/>
    <w:rsid w:val="66007D67"/>
    <w:rsid w:val="660D5DBE"/>
    <w:rsid w:val="662B5A52"/>
    <w:rsid w:val="66570776"/>
    <w:rsid w:val="66B6356E"/>
    <w:rsid w:val="67425DF4"/>
    <w:rsid w:val="67703441"/>
    <w:rsid w:val="6777664F"/>
    <w:rsid w:val="679E650E"/>
    <w:rsid w:val="681F15E7"/>
    <w:rsid w:val="68523D9B"/>
    <w:rsid w:val="6876296E"/>
    <w:rsid w:val="68C23F39"/>
    <w:rsid w:val="68C617F4"/>
    <w:rsid w:val="6921668A"/>
    <w:rsid w:val="692E086F"/>
    <w:rsid w:val="69E375F2"/>
    <w:rsid w:val="6A08467F"/>
    <w:rsid w:val="6A66639C"/>
    <w:rsid w:val="6AC534B8"/>
    <w:rsid w:val="6B0604B5"/>
    <w:rsid w:val="6B142482"/>
    <w:rsid w:val="6B1B4091"/>
    <w:rsid w:val="6B2A74D2"/>
    <w:rsid w:val="6B485019"/>
    <w:rsid w:val="6B5863FA"/>
    <w:rsid w:val="6B6C07CE"/>
    <w:rsid w:val="6BCC6269"/>
    <w:rsid w:val="6BD1083C"/>
    <w:rsid w:val="6BDE3F74"/>
    <w:rsid w:val="6C181AE8"/>
    <w:rsid w:val="6CAA23D4"/>
    <w:rsid w:val="6CBE1074"/>
    <w:rsid w:val="6CF44DF0"/>
    <w:rsid w:val="6CFE2ECE"/>
    <w:rsid w:val="6DA04EEA"/>
    <w:rsid w:val="6E1530D0"/>
    <w:rsid w:val="6E1E7D37"/>
    <w:rsid w:val="6E3A6D0D"/>
    <w:rsid w:val="6E7E696F"/>
    <w:rsid w:val="6E997680"/>
    <w:rsid w:val="6EC86450"/>
    <w:rsid w:val="6F0B235B"/>
    <w:rsid w:val="6F0C35BC"/>
    <w:rsid w:val="6F0C79BF"/>
    <w:rsid w:val="6F46694B"/>
    <w:rsid w:val="6F6E4D38"/>
    <w:rsid w:val="6FC16CB1"/>
    <w:rsid w:val="6FDF5799"/>
    <w:rsid w:val="70460FCF"/>
    <w:rsid w:val="705C05E6"/>
    <w:rsid w:val="70776C11"/>
    <w:rsid w:val="70BE6C1C"/>
    <w:rsid w:val="70E33C4E"/>
    <w:rsid w:val="71092E34"/>
    <w:rsid w:val="71180999"/>
    <w:rsid w:val="715177AE"/>
    <w:rsid w:val="719047D8"/>
    <w:rsid w:val="71C1592F"/>
    <w:rsid w:val="71C254BD"/>
    <w:rsid w:val="71C96239"/>
    <w:rsid w:val="722B2DE0"/>
    <w:rsid w:val="72413CFE"/>
    <w:rsid w:val="72632299"/>
    <w:rsid w:val="726B0346"/>
    <w:rsid w:val="72BE537D"/>
    <w:rsid w:val="72DC3AFD"/>
    <w:rsid w:val="73257DCF"/>
    <w:rsid w:val="735D01F7"/>
    <w:rsid w:val="7395398E"/>
    <w:rsid w:val="746E4293"/>
    <w:rsid w:val="74711995"/>
    <w:rsid w:val="7506570B"/>
    <w:rsid w:val="75096AA8"/>
    <w:rsid w:val="75947170"/>
    <w:rsid w:val="75993F1F"/>
    <w:rsid w:val="75F20EE0"/>
    <w:rsid w:val="761C2024"/>
    <w:rsid w:val="763E110E"/>
    <w:rsid w:val="76972EC0"/>
    <w:rsid w:val="76B30C4A"/>
    <w:rsid w:val="7701204E"/>
    <w:rsid w:val="77726CC0"/>
    <w:rsid w:val="77804DE4"/>
    <w:rsid w:val="77954AC0"/>
    <w:rsid w:val="77BA61D3"/>
    <w:rsid w:val="77FA69E3"/>
    <w:rsid w:val="780211C0"/>
    <w:rsid w:val="787D351A"/>
    <w:rsid w:val="78CC477E"/>
    <w:rsid w:val="78D92D55"/>
    <w:rsid w:val="792D38DD"/>
    <w:rsid w:val="799A3D0D"/>
    <w:rsid w:val="79F521A7"/>
    <w:rsid w:val="79FF57A3"/>
    <w:rsid w:val="7A6153B6"/>
    <w:rsid w:val="7B6B3186"/>
    <w:rsid w:val="7B7E1B28"/>
    <w:rsid w:val="7C4C4989"/>
    <w:rsid w:val="7C705A17"/>
    <w:rsid w:val="7C890C4B"/>
    <w:rsid w:val="7CA03CF7"/>
    <w:rsid w:val="7DBC25AC"/>
    <w:rsid w:val="7DDA36CB"/>
    <w:rsid w:val="7E1D36F5"/>
    <w:rsid w:val="7EA20FAC"/>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4"/>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4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5"/>
    <w:qFormat/>
    <w:uiPriority w:val="0"/>
    <w:pPr>
      <w:keepNext/>
      <w:keepLines/>
      <w:spacing w:before="260" w:after="260" w:line="413" w:lineRule="auto"/>
      <w:outlineLvl w:val="2"/>
    </w:pPr>
    <w:rPr>
      <w:b/>
      <w:sz w:val="32"/>
    </w:rPr>
  </w:style>
  <w:style w:type="paragraph" w:styleId="5">
    <w:name w:val="heading 4"/>
    <w:basedOn w:val="1"/>
    <w:next w:val="1"/>
    <w:link w:val="15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7"/>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next w:val="1"/>
    <w:autoRedefine/>
    <w:qFormat/>
    <w:uiPriority w:val="0"/>
    <w:rPr>
      <w:sz w:val="24"/>
    </w:rPr>
  </w:style>
  <w:style w:type="paragraph" w:styleId="18">
    <w:name w:val="Body Text Indent"/>
    <w:basedOn w:val="1"/>
    <w:link w:val="161"/>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0"/>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2"/>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table" w:styleId="44">
    <w:name w:val="Table Grid"/>
    <w:basedOn w:val="4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99"/>
    <w:rPr>
      <w:color w:val="800080"/>
      <w:u w:val="none"/>
    </w:rPr>
  </w:style>
  <w:style w:type="character" w:styleId="49">
    <w:name w:val="Hyperlink"/>
    <w:autoRedefine/>
    <w:qFormat/>
    <w:uiPriority w:val="99"/>
    <w:rPr>
      <w:caps/>
      <w:color w:val="0000FF"/>
    </w:rPr>
  </w:style>
  <w:style w:type="character" w:styleId="50">
    <w:name w:val="annotation reference"/>
    <w:autoRedefine/>
    <w:semiHidden/>
    <w:qFormat/>
    <w:uiPriority w:val="0"/>
    <w:rPr>
      <w:sz w:val="21"/>
    </w:rPr>
  </w:style>
  <w:style w:type="character" w:styleId="51">
    <w:name w:val="footnote reference"/>
    <w:autoRedefine/>
    <w:semiHidden/>
    <w:qFormat/>
    <w:uiPriority w:val="0"/>
    <w:rPr>
      <w:vertAlign w:val="superscript"/>
    </w:rPr>
  </w:style>
  <w:style w:type="paragraph" w:styleId="52">
    <w:name w:val="No Spacing"/>
    <w:qFormat/>
    <w:uiPriority w:val="1"/>
    <w:rPr>
      <w:rFonts w:ascii="Calibri" w:hAnsi="Calibri" w:eastAsia="宋体" w:cs="Times New Roman"/>
      <w:sz w:val="22"/>
      <w:szCs w:val="22"/>
      <w:lang w:val="en-US" w:eastAsia="zh-CN" w:bidi="ar-SA"/>
    </w:rPr>
  </w:style>
  <w:style w:type="paragraph" w:customStyle="1" w:styleId="53">
    <w:name w:val="正文（缩进） Char"/>
    <w:basedOn w:val="1"/>
    <w:link w:val="153"/>
    <w:autoRedefine/>
    <w:qFormat/>
    <w:uiPriority w:val="0"/>
    <w:pPr>
      <w:spacing w:before="156" w:beforeLines="50" w:after="156" w:afterLines="50" w:line="360" w:lineRule="auto"/>
      <w:ind w:firstLine="480" w:firstLineChars="200"/>
    </w:pPr>
    <w:rPr>
      <w:sz w:val="24"/>
      <w:szCs w:val="24"/>
    </w:rPr>
  </w:style>
  <w:style w:type="paragraph" w:customStyle="1" w:styleId="54">
    <w:name w:val="正文（缩进）"/>
    <w:basedOn w:val="1"/>
    <w:link w:val="158"/>
    <w:autoRedefine/>
    <w:qFormat/>
    <w:uiPriority w:val="0"/>
    <w:pPr>
      <w:spacing w:before="156" w:beforeLines="50" w:after="156" w:afterLines="50" w:line="360" w:lineRule="auto"/>
      <w:ind w:firstLine="480" w:firstLineChars="200"/>
    </w:pPr>
    <w:rPr>
      <w:sz w:val="24"/>
      <w:szCs w:val="24"/>
    </w:rPr>
  </w:style>
  <w:style w:type="paragraph" w:customStyle="1" w:styleId="55">
    <w:name w:val="Text Char Char"/>
    <w:basedOn w:val="1"/>
    <w:link w:val="162"/>
    <w:autoRedefine/>
    <w:qFormat/>
    <w:uiPriority w:val="0"/>
    <w:pPr>
      <w:widowControl/>
      <w:spacing w:after="120"/>
      <w:jc w:val="left"/>
    </w:pPr>
    <w:rPr>
      <w:kern w:val="0"/>
      <w:sz w:val="24"/>
      <w:lang w:eastAsia="en-US"/>
    </w:rPr>
  </w:style>
  <w:style w:type="paragraph" w:customStyle="1" w:styleId="56">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7">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59">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1">
    <w:name w:val="图文"/>
    <w:basedOn w:val="1"/>
    <w:autoRedefine/>
    <w:qFormat/>
    <w:uiPriority w:val="0"/>
    <w:pPr>
      <w:adjustRightInd w:val="0"/>
      <w:snapToGrid w:val="0"/>
      <w:spacing w:after="50" w:line="360" w:lineRule="auto"/>
    </w:pPr>
    <w:rPr>
      <w:sz w:val="24"/>
    </w:rPr>
  </w:style>
  <w:style w:type="paragraph" w:customStyle="1" w:styleId="62">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3">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4">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5">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6">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8">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69">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0">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1">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2">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3">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4">
    <w:name w:val="Char Char Char Char Char Char Char Char"/>
    <w:basedOn w:val="1"/>
    <w:autoRedefine/>
    <w:qFormat/>
    <w:uiPriority w:val="0"/>
    <w:pPr>
      <w:tabs>
        <w:tab w:val="left" w:pos="360"/>
      </w:tabs>
    </w:pPr>
    <w:rPr>
      <w:sz w:val="24"/>
      <w:szCs w:val="24"/>
    </w:rPr>
  </w:style>
  <w:style w:type="paragraph" w:customStyle="1" w:styleId="75">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6">
    <w:name w:val="0"/>
    <w:basedOn w:val="1"/>
    <w:autoRedefine/>
    <w:qFormat/>
    <w:uiPriority w:val="0"/>
    <w:pPr>
      <w:widowControl/>
      <w:snapToGrid w:val="0"/>
      <w:spacing w:before="156" w:after="156" w:line="360" w:lineRule="auto"/>
    </w:pPr>
    <w:rPr>
      <w:kern w:val="0"/>
      <w:sz w:val="24"/>
    </w:rPr>
  </w:style>
  <w:style w:type="paragraph" w:customStyle="1" w:styleId="77">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8">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79">
    <w:name w:val="Char Char Char Char"/>
    <w:basedOn w:val="14"/>
    <w:autoRedefine/>
    <w:qFormat/>
    <w:uiPriority w:val="0"/>
    <w:rPr>
      <w:rFonts w:ascii="Tahoma" w:hAnsi="Tahoma"/>
      <w:sz w:val="24"/>
    </w:rPr>
  </w:style>
  <w:style w:type="paragraph" w:customStyle="1" w:styleId="80">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1">
    <w:name w:val="标题6"/>
    <w:basedOn w:val="21"/>
    <w:autoRedefine/>
    <w:qFormat/>
    <w:uiPriority w:val="0"/>
    <w:pPr>
      <w:spacing w:line="360" w:lineRule="auto"/>
    </w:pPr>
    <w:rPr>
      <w:rFonts w:hAnsi="宋体"/>
      <w:b/>
    </w:rPr>
  </w:style>
  <w:style w:type="paragraph" w:customStyle="1" w:styleId="82">
    <w:name w:val="项目2"/>
    <w:basedOn w:val="1"/>
    <w:autoRedefine/>
    <w:qFormat/>
    <w:uiPriority w:val="0"/>
    <w:pPr>
      <w:tabs>
        <w:tab w:val="left" w:pos="425"/>
      </w:tabs>
      <w:spacing w:before="60" w:after="60" w:line="360" w:lineRule="auto"/>
      <w:ind w:left="425" w:hanging="425"/>
    </w:pPr>
    <w:rPr>
      <w:sz w:val="24"/>
    </w:rPr>
  </w:style>
  <w:style w:type="paragraph" w:customStyle="1" w:styleId="83">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4">
    <w:name w:val="样式1"/>
    <w:basedOn w:val="5"/>
    <w:autoRedefine/>
    <w:qFormat/>
    <w:uiPriority w:val="0"/>
    <w:pPr>
      <w:tabs>
        <w:tab w:val="left" w:pos="992"/>
      </w:tabs>
      <w:spacing w:line="420" w:lineRule="exact"/>
      <w:ind w:left="992" w:hanging="567"/>
    </w:pPr>
    <w:rPr>
      <w:sz w:val="24"/>
    </w:rPr>
  </w:style>
  <w:style w:type="paragraph" w:customStyle="1" w:styleId="85">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标题3"/>
    <w:basedOn w:val="4"/>
    <w:autoRedefine/>
    <w:qFormat/>
    <w:uiPriority w:val="0"/>
    <w:pPr>
      <w:spacing w:before="0" w:after="0" w:line="360" w:lineRule="auto"/>
      <w:ind w:left="1258" w:hanging="1258" w:hangingChars="522"/>
    </w:pPr>
    <w:rPr>
      <w:bCs/>
      <w:sz w:val="24"/>
      <w:szCs w:val="32"/>
    </w:rPr>
  </w:style>
  <w:style w:type="paragraph" w:customStyle="1" w:styleId="87">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89">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0">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4">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5">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6">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7">
    <w:name w:val="批注框文本 Char Char"/>
    <w:basedOn w:val="1"/>
    <w:autoRedefine/>
    <w:qFormat/>
    <w:uiPriority w:val="0"/>
    <w:rPr>
      <w:sz w:val="18"/>
    </w:rPr>
  </w:style>
  <w:style w:type="paragraph" w:customStyle="1" w:styleId="98">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9">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0">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1">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2">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3">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6">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8">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9">
    <w:name w:val="Char Char Char"/>
    <w:basedOn w:val="1"/>
    <w:autoRedefine/>
    <w:qFormat/>
    <w:uiPriority w:val="0"/>
    <w:rPr>
      <w:rFonts w:ascii="Tahoma" w:hAnsi="Tahoma"/>
      <w:sz w:val="24"/>
    </w:rPr>
  </w:style>
  <w:style w:type="paragraph" w:customStyle="1" w:styleId="110">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默认段落字体 Para Char Char Char Char Char Char Char Char Char1 Char Char Char Char Char Char Char"/>
    <w:basedOn w:val="1"/>
    <w:autoRedefine/>
    <w:qFormat/>
    <w:uiPriority w:val="0"/>
    <w:rPr>
      <w:b/>
      <w:bCs/>
      <w:sz w:val="36"/>
      <w:szCs w:val="32"/>
    </w:rPr>
  </w:style>
  <w:style w:type="paragraph" w:customStyle="1" w:styleId="112">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3">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4">
    <w:name w:val="Char1"/>
    <w:basedOn w:val="1"/>
    <w:autoRedefine/>
    <w:qFormat/>
    <w:uiPriority w:val="0"/>
    <w:pPr>
      <w:tabs>
        <w:tab w:val="left" w:pos="420"/>
      </w:tabs>
      <w:ind w:left="420" w:hanging="420"/>
    </w:pPr>
    <w:rPr>
      <w:rFonts w:ascii="Tahoma" w:hAnsi="Tahoma" w:cs="Tahoma"/>
      <w:sz w:val="28"/>
      <w:szCs w:val="28"/>
    </w:rPr>
  </w:style>
  <w:style w:type="paragraph" w:customStyle="1" w:styleId="115">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6">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7">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8">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19">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0">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1">
    <w:name w:val="List Paragraph1"/>
    <w:basedOn w:val="1"/>
    <w:autoRedefine/>
    <w:qFormat/>
    <w:uiPriority w:val="0"/>
    <w:pPr>
      <w:ind w:firstLine="420" w:firstLineChars="200"/>
    </w:pPr>
    <w:rPr>
      <w:rFonts w:ascii="Calibri" w:hAnsi="Calibri"/>
      <w:szCs w:val="22"/>
    </w:rPr>
  </w:style>
  <w:style w:type="paragraph" w:customStyle="1" w:styleId="122">
    <w:name w:val="prop1"/>
    <w:basedOn w:val="5"/>
    <w:autoRedefine/>
    <w:qFormat/>
    <w:uiPriority w:val="0"/>
    <w:pPr>
      <w:numPr>
        <w:ilvl w:val="0"/>
        <w:numId w:val="3"/>
      </w:numPr>
      <w:spacing w:line="360" w:lineRule="auto"/>
    </w:pPr>
    <w:rPr>
      <w:bCs w:val="0"/>
      <w:szCs w:val="20"/>
    </w:rPr>
  </w:style>
  <w:style w:type="paragraph" w:customStyle="1" w:styleId="123">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4">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6">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7">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8">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0">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1">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2">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3">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4">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6">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39">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2">
    <w:name w:val="Char"/>
    <w:basedOn w:val="1"/>
    <w:autoRedefine/>
    <w:qFormat/>
    <w:uiPriority w:val="0"/>
    <w:pPr>
      <w:tabs>
        <w:tab w:val="left" w:pos="360"/>
      </w:tabs>
      <w:ind w:left="360" w:hanging="360" w:hangingChars="200"/>
    </w:pPr>
    <w:rPr>
      <w:sz w:val="24"/>
      <w:szCs w:val="24"/>
    </w:rPr>
  </w:style>
  <w:style w:type="paragraph" w:customStyle="1" w:styleId="143">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4">
    <w:name w:val="题目项目"/>
    <w:basedOn w:val="1"/>
    <w:autoRedefine/>
    <w:qFormat/>
    <w:uiPriority w:val="0"/>
    <w:pPr>
      <w:numPr>
        <w:ilvl w:val="0"/>
        <w:numId w:val="4"/>
      </w:numPr>
      <w:tabs>
        <w:tab w:val="left" w:pos="885"/>
        <w:tab w:val="clear" w:pos="502"/>
      </w:tabs>
      <w:spacing w:before="312" w:after="156"/>
    </w:pPr>
  </w:style>
  <w:style w:type="paragraph" w:customStyle="1" w:styleId="145">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6">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7">
    <w:name w:val="List Paragraph"/>
    <w:basedOn w:val="1"/>
    <w:autoRedefine/>
    <w:qFormat/>
    <w:uiPriority w:val="99"/>
    <w:pPr>
      <w:ind w:firstLine="420" w:firstLineChars="200"/>
    </w:pPr>
  </w:style>
  <w:style w:type="character" w:customStyle="1" w:styleId="148">
    <w:name w:val="标题 1 字符"/>
    <w:autoRedefine/>
    <w:qFormat/>
    <w:uiPriority w:val="0"/>
    <w:rPr>
      <w:rFonts w:ascii="宋体" w:hAnsi="宋体" w:eastAsia="宋体"/>
      <w:b/>
      <w:kern w:val="44"/>
      <w:sz w:val="24"/>
    </w:rPr>
  </w:style>
  <w:style w:type="character" w:customStyle="1" w:styleId="149">
    <w:name w:val="标题 2 Char"/>
    <w:link w:val="3"/>
    <w:autoRedefine/>
    <w:qFormat/>
    <w:uiPriority w:val="0"/>
    <w:rPr>
      <w:rFonts w:ascii="Arial" w:hAnsi="Arial" w:eastAsia="黑体"/>
      <w:b/>
      <w:sz w:val="30"/>
      <w:lang w:val="en-US" w:eastAsia="zh-CN" w:bidi="ar-SA"/>
    </w:rPr>
  </w:style>
  <w:style w:type="character" w:customStyle="1" w:styleId="150">
    <w:name w:val="标题 4 Char"/>
    <w:link w:val="5"/>
    <w:autoRedefine/>
    <w:qFormat/>
    <w:uiPriority w:val="0"/>
    <w:rPr>
      <w:rFonts w:ascii="Arial" w:hAnsi="Arial" w:eastAsia="黑体"/>
      <w:b/>
      <w:bCs/>
      <w:kern w:val="2"/>
      <w:sz w:val="28"/>
      <w:szCs w:val="28"/>
      <w:lang w:val="en-US" w:eastAsia="zh-CN" w:bidi="ar-SA"/>
    </w:rPr>
  </w:style>
  <w:style w:type="character" w:customStyle="1" w:styleId="151">
    <w:name w:val="my正文 Char"/>
    <w:autoRedefine/>
    <w:qFormat/>
    <w:uiPriority w:val="0"/>
    <w:rPr>
      <w:rFonts w:hint="eastAsia" w:ascii="宋体" w:eastAsia="宋体"/>
      <w:sz w:val="24"/>
      <w:lang w:val="en-US" w:eastAsia="zh-CN"/>
    </w:rPr>
  </w:style>
  <w:style w:type="character" w:customStyle="1" w:styleId="152">
    <w:name w:val="页脚 Char"/>
    <w:link w:val="26"/>
    <w:autoRedefine/>
    <w:qFormat/>
    <w:uiPriority w:val="0"/>
    <w:rPr>
      <w:rFonts w:eastAsia="宋体"/>
      <w:sz w:val="18"/>
      <w:lang w:val="en-US" w:eastAsia="zh-CN" w:bidi="ar-SA"/>
    </w:rPr>
  </w:style>
  <w:style w:type="character" w:customStyle="1" w:styleId="153">
    <w:name w:val="正文（缩进） Char Char"/>
    <w:link w:val="53"/>
    <w:autoRedefine/>
    <w:qFormat/>
    <w:uiPriority w:val="0"/>
    <w:rPr>
      <w:rFonts w:eastAsia="宋体"/>
      <w:kern w:val="2"/>
      <w:sz w:val="24"/>
      <w:szCs w:val="24"/>
      <w:lang w:val="en-US" w:eastAsia="zh-CN" w:bidi="ar-SA"/>
    </w:rPr>
  </w:style>
  <w:style w:type="character" w:customStyle="1" w:styleId="154">
    <w:name w:val="标题2 Char"/>
    <w:autoRedefine/>
    <w:qFormat/>
    <w:uiPriority w:val="0"/>
    <w:rPr>
      <w:rFonts w:ascii="Arial" w:hAnsi="Arial" w:eastAsia="黑体"/>
      <w:b/>
      <w:sz w:val="28"/>
      <w:szCs w:val="28"/>
      <w:lang w:val="en-US" w:eastAsia="zh-CN" w:bidi="ar-SA"/>
    </w:rPr>
  </w:style>
  <w:style w:type="character" w:customStyle="1" w:styleId="155">
    <w:name w:val="标题 1 Char"/>
    <w:autoRedefine/>
    <w:qFormat/>
    <w:uiPriority w:val="0"/>
    <w:rPr>
      <w:rFonts w:ascii="Arial" w:hAnsi="Arial" w:eastAsia="黑体" w:cs="Arial"/>
      <w:bCs/>
      <w:color w:val="000000"/>
      <w:sz w:val="36"/>
      <w:szCs w:val="30"/>
      <w:lang w:val="en-US" w:eastAsia="zh-CN" w:bidi="ar-SA"/>
    </w:rPr>
  </w:style>
  <w:style w:type="character" w:customStyle="1" w:styleId="156">
    <w:name w:val="p12"/>
    <w:basedOn w:val="45"/>
    <w:autoRedefine/>
    <w:qFormat/>
    <w:uiPriority w:val="0"/>
  </w:style>
  <w:style w:type="character" w:customStyle="1" w:styleId="157">
    <w:name w:val="正文缩进 Char"/>
    <w:link w:val="12"/>
    <w:autoRedefine/>
    <w:qFormat/>
    <w:uiPriority w:val="0"/>
    <w:rPr>
      <w:rFonts w:eastAsia="宋体"/>
      <w:kern w:val="2"/>
      <w:sz w:val="21"/>
      <w:lang w:val="en-US" w:eastAsia="zh-CN" w:bidi="ar-SA"/>
    </w:rPr>
  </w:style>
  <w:style w:type="character" w:customStyle="1" w:styleId="158">
    <w:name w:val="正文（缩进） Char1"/>
    <w:link w:val="54"/>
    <w:autoRedefine/>
    <w:qFormat/>
    <w:uiPriority w:val="0"/>
    <w:rPr>
      <w:rFonts w:eastAsia="宋体"/>
      <w:kern w:val="2"/>
      <w:sz w:val="24"/>
      <w:szCs w:val="24"/>
      <w:lang w:val="en-US" w:eastAsia="zh-CN" w:bidi="ar-SA"/>
    </w:rPr>
  </w:style>
  <w:style w:type="character" w:customStyle="1" w:styleId="159">
    <w:name w:val="f101"/>
    <w:autoRedefine/>
    <w:qFormat/>
    <w:uiPriority w:val="0"/>
    <w:rPr>
      <w:sz w:val="21"/>
      <w:szCs w:val="21"/>
    </w:rPr>
  </w:style>
  <w:style w:type="character" w:customStyle="1" w:styleId="160">
    <w:name w:val="纯文本 Char"/>
    <w:link w:val="21"/>
    <w:autoRedefine/>
    <w:qFormat/>
    <w:uiPriority w:val="0"/>
    <w:rPr>
      <w:rFonts w:ascii="宋体" w:hAnsi="Courier New" w:eastAsia="宋体"/>
      <w:kern w:val="2"/>
      <w:sz w:val="21"/>
      <w:lang w:val="en-US" w:eastAsia="zh-CN" w:bidi="ar-SA"/>
    </w:rPr>
  </w:style>
  <w:style w:type="character" w:customStyle="1" w:styleId="161">
    <w:name w:val="正文文本缩进 Char"/>
    <w:link w:val="18"/>
    <w:autoRedefine/>
    <w:qFormat/>
    <w:uiPriority w:val="0"/>
    <w:rPr>
      <w:rFonts w:eastAsia="仿宋_GB2312"/>
      <w:kern w:val="2"/>
      <w:sz w:val="28"/>
    </w:rPr>
  </w:style>
  <w:style w:type="character" w:customStyle="1" w:styleId="162">
    <w:name w:val="Text Char Char Char"/>
    <w:link w:val="55"/>
    <w:autoRedefine/>
    <w:qFormat/>
    <w:uiPriority w:val="0"/>
    <w:rPr>
      <w:rFonts w:eastAsia="宋体"/>
      <w:sz w:val="24"/>
      <w:lang w:val="en-US" w:eastAsia="en-US" w:bidi="ar-SA"/>
    </w:rPr>
  </w:style>
  <w:style w:type="paragraph" w:customStyle="1" w:styleId="163">
    <w:name w:val="WPSOffice手动目录 1"/>
    <w:autoRedefine/>
    <w:qFormat/>
    <w:uiPriority w:val="0"/>
    <w:rPr>
      <w:rFonts w:ascii="Times New Roman" w:hAnsi="Times New Roman" w:eastAsia="宋体" w:cs="Times New Roman"/>
      <w:lang w:val="en-US" w:eastAsia="zh-CN" w:bidi="ar-SA"/>
    </w:rPr>
  </w:style>
  <w:style w:type="character" w:customStyle="1" w:styleId="164">
    <w:name w:val="标题 1 Char1"/>
    <w:link w:val="2"/>
    <w:autoRedefine/>
    <w:qFormat/>
    <w:uiPriority w:val="0"/>
    <w:rPr>
      <w:rFonts w:ascii="宋体"/>
      <w:b/>
      <w:kern w:val="44"/>
      <w:sz w:val="32"/>
      <w:szCs w:val="20"/>
    </w:rPr>
  </w:style>
  <w:style w:type="character" w:customStyle="1" w:styleId="165">
    <w:name w:val="标题 3 Char"/>
    <w:link w:val="4"/>
    <w:autoRedefine/>
    <w:qFormat/>
    <w:uiPriority w:val="0"/>
    <w:rPr>
      <w:b/>
      <w:sz w:val="32"/>
    </w:rPr>
  </w:style>
  <w:style w:type="paragraph" w:customStyle="1" w:styleId="166">
    <w:name w:val="无间隔1"/>
    <w:autoRedefine/>
    <w:qFormat/>
    <w:uiPriority w:val="1"/>
    <w:pPr>
      <w:widowControl w:val="0"/>
      <w:spacing w:line="380" w:lineRule="exact"/>
      <w:jc w:val="both"/>
    </w:pPr>
    <w:rPr>
      <w:rFonts w:ascii="Arial" w:hAnsi="Arial"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13</Pages>
  <Words>21568</Words>
  <Characters>22846</Characters>
  <Lines>275</Lines>
  <Paragraphs>77</Paragraphs>
  <TotalTime>0</TotalTime>
  <ScaleCrop>false</ScaleCrop>
  <LinksUpToDate>false</LinksUpToDate>
  <CharactersWithSpaces>23531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2025-04-09T02:00:00Z</dcterms:created>
  <dc:creator>yangxiaojing</dc:creator>
  <cp:lastModifiedBy>jiabao</cp:lastModifiedBy>
  <cp:lastPrinted>2025-04-25T03:31:00Z</cp:lastPrinted>
  <dcterms:modified xsi:type="dcterms:W3CDTF">2025-05-06T05:46:05Z</dcterms:modified>
  <dc:title>竞争性谈判文件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2052-12.1.0.20784</vt:lpwstr>
  </property>
  <property fmtid="{D5CDD505-2E9C-101B-9397-08002B2CF9AE}" pid="4" name="ICV">
    <vt:lpwstr>8BB3EA9860A84E0B83001580602800CC</vt:lpwstr>
  </property>
  <property fmtid="{D5CDD505-2E9C-101B-9397-08002B2CF9AE}" pid="5" name="KSOTemplateDocerSaveRecord">
    <vt:lpwstr>eyJoZGlkIjoiMmVjY2ViOTAxNmY4Zjg4NmNiY2JmNTQ3NjhkZGQyYTUiLCJ1c2VySWQiOiI2MDAzODc3MjIifQ==</vt:lpwstr>
  </property>
</Properties>
</file>