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000000" w:themeColor="text1"/>
          <w:sz w:val="36"/>
          <w:szCs w:val="36"/>
          <w14:textFill>
            <w14:solidFill>
              <w14:schemeClr w14:val="tx1"/>
            </w14:solidFill>
          </w14:textFill>
        </w:rPr>
      </w:pPr>
      <w:bookmarkStart w:id="0" w:name="_Toc7204"/>
      <w:r>
        <w:rPr>
          <w:b/>
          <w:color w:val="000000" w:themeColor="text1"/>
          <w:sz w:val="36"/>
          <w:szCs w:val="36"/>
          <w14:textFill>
            <w14:solidFill>
              <w14:schemeClr w14:val="tx1"/>
            </w14:solidFill>
          </w14:textFill>
        </w:rPr>
        <w:t>第四章   采购需求</w:t>
      </w:r>
      <w:bookmarkEnd w:id="0"/>
    </w:p>
    <w:p>
      <w:pPr>
        <w:numPr>
          <w:ilvl w:val="0"/>
          <w:numId w:val="1"/>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92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序号</w:t>
            </w:r>
          </w:p>
        </w:tc>
        <w:tc>
          <w:tcPr>
            <w:tcW w:w="2920" w:type="dxa"/>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设备名称</w:t>
            </w:r>
          </w:p>
        </w:tc>
        <w:tc>
          <w:tcPr>
            <w:tcW w:w="2131" w:type="dxa"/>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数量</w:t>
            </w:r>
          </w:p>
        </w:tc>
        <w:tc>
          <w:tcPr>
            <w:tcW w:w="2131" w:type="dxa"/>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2920" w:type="dxa"/>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机架式服务器</w:t>
            </w:r>
          </w:p>
        </w:tc>
        <w:tc>
          <w:tcPr>
            <w:tcW w:w="2131" w:type="dxa"/>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2台</w:t>
            </w:r>
          </w:p>
        </w:tc>
        <w:tc>
          <w:tcPr>
            <w:tcW w:w="2131" w:type="dxa"/>
          </w:tcPr>
          <w:p>
            <w:pPr>
              <w:spacing w:line="360" w:lineRule="auto"/>
              <w:jc w:val="center"/>
              <w:rPr>
                <w:rFonts w:hint="eastAsia" w:ascii="宋体" w:hAnsi="宋体"/>
                <w:color w:val="auto"/>
                <w:sz w:val="24"/>
                <w:highlight w:val="none"/>
              </w:rPr>
            </w:pPr>
          </w:p>
        </w:tc>
      </w:tr>
    </w:tbl>
    <w:p>
      <w:pPr>
        <w:spacing w:line="360" w:lineRule="auto"/>
        <w:rPr>
          <w:rFonts w:hint="eastAsia" w:ascii="宋体" w:hAnsi="宋体"/>
          <w:color w:val="auto"/>
          <w:sz w:val="24"/>
          <w:highlight w:val="none"/>
        </w:rPr>
      </w:pPr>
    </w:p>
    <w:p>
      <w:pPr>
        <w:numPr>
          <w:ilvl w:val="0"/>
          <w:numId w:val="1"/>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单台设备参数</w:t>
      </w:r>
    </w:p>
    <w:p>
      <w:pPr>
        <w:numPr>
          <w:ilvl w:val="0"/>
          <w:numId w:val="0"/>
        </w:numPr>
        <w:spacing w:line="360" w:lineRule="auto"/>
        <w:rPr>
          <w:rFonts w:hint="eastAsia" w:ascii="宋体" w:hAnsi="宋体"/>
          <w:color w:val="auto"/>
          <w:sz w:val="24"/>
          <w:highlight w:val="none"/>
        </w:rPr>
      </w:pPr>
      <w:r>
        <w:rPr>
          <w:rFonts w:hint="eastAsia"/>
          <w:color w:val="auto"/>
          <w:highlight w:val="none"/>
          <w:lang w:val="en-US" w:eastAsia="zh-CN"/>
        </w:rPr>
        <w:t>注：</w:t>
      </w:r>
      <w:r>
        <w:rPr>
          <w:rFonts w:hint="eastAsia"/>
          <w:color w:val="auto"/>
          <w:highlight w:val="none"/>
        </w:rPr>
        <w:t>所有带★号的条款为主要技术参数，为必须满足条款否则视为无效投标。</w:t>
      </w:r>
    </w:p>
    <w:tbl>
      <w:tblPr>
        <w:tblStyle w:val="9"/>
        <w:tblW w:w="9639" w:type="dxa"/>
        <w:jc w:val="center"/>
        <w:tblLayout w:type="fixed"/>
        <w:tblCellMar>
          <w:top w:w="0" w:type="dxa"/>
          <w:left w:w="108" w:type="dxa"/>
          <w:bottom w:w="0" w:type="dxa"/>
          <w:right w:w="108" w:type="dxa"/>
        </w:tblCellMar>
      </w:tblPr>
      <w:tblGrid>
        <w:gridCol w:w="665"/>
        <w:gridCol w:w="917"/>
        <w:gridCol w:w="1374"/>
        <w:gridCol w:w="5197"/>
        <w:gridCol w:w="1486"/>
      </w:tblGrid>
      <w:tr>
        <w:trPr>
          <w:trHeight w:val="600" w:hRule="atLeast"/>
          <w:jc w:val="center"/>
        </w:trPr>
        <w:tc>
          <w:tcPr>
            <w:tcW w:w="9639"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机架式服务器</w:t>
            </w:r>
          </w:p>
        </w:tc>
      </w:tr>
      <w:tr>
        <w:tblPrEx>
          <w:tblCellMar>
            <w:top w:w="0" w:type="dxa"/>
            <w:left w:w="108" w:type="dxa"/>
            <w:bottom w:w="0" w:type="dxa"/>
            <w:right w:w="108" w:type="dxa"/>
          </w:tblCellMar>
        </w:tblPrEx>
        <w:trPr>
          <w:trHeight w:val="600" w:hRule="atLeast"/>
          <w:jc w:val="center"/>
        </w:trPr>
        <w:tc>
          <w:tcPr>
            <w:tcW w:w="665"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917" w:type="dxa"/>
            <w:tcBorders>
              <w:top w:val="nil"/>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重要性</w:t>
            </w:r>
          </w:p>
        </w:tc>
        <w:tc>
          <w:tcPr>
            <w:tcW w:w="1374" w:type="dxa"/>
            <w:tcBorders>
              <w:top w:val="nil"/>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指标项</w:t>
            </w:r>
          </w:p>
        </w:tc>
        <w:tc>
          <w:tcPr>
            <w:tcW w:w="5197" w:type="dxa"/>
            <w:tcBorders>
              <w:top w:val="nil"/>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指标规格要求</w:t>
            </w:r>
          </w:p>
        </w:tc>
        <w:tc>
          <w:tcPr>
            <w:tcW w:w="1486" w:type="dxa"/>
            <w:tcBorders>
              <w:top w:val="nil"/>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证明材料要求</w:t>
            </w:r>
          </w:p>
        </w:tc>
      </w:tr>
      <w:tr>
        <w:tblPrEx>
          <w:tblCellMar>
            <w:top w:w="0" w:type="dxa"/>
            <w:left w:w="108" w:type="dxa"/>
            <w:bottom w:w="0" w:type="dxa"/>
            <w:right w:w="108" w:type="dxa"/>
          </w:tblCellMar>
        </w:tblPrEx>
        <w:trPr>
          <w:trHeight w:val="600" w:hRule="atLeast"/>
          <w:jc w:val="center"/>
        </w:trPr>
        <w:tc>
          <w:tcPr>
            <w:tcW w:w="665"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17" w:type="dxa"/>
            <w:tcBorders>
              <w:top w:val="nil"/>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374" w:type="dxa"/>
            <w:tcBorders>
              <w:top w:val="nil"/>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CPU 信息</w:t>
            </w:r>
          </w:p>
        </w:tc>
        <w:tc>
          <w:tcPr>
            <w:tcW w:w="5197" w:type="dxa"/>
            <w:tcBorders>
              <w:top w:val="nil"/>
              <w:left w:val="nil"/>
              <w:bottom w:val="single" w:color="auto" w:sz="4" w:space="0"/>
              <w:right w:val="single" w:color="auto" w:sz="4" w:space="0"/>
            </w:tcBorders>
          </w:tcPr>
          <w:p>
            <w:pPr>
              <w:rPr>
                <w:rFonts w:hint="eastAsia" w:ascii="宋体" w:hAnsi="宋体" w:cs="宋体"/>
                <w:color w:val="auto"/>
                <w:szCs w:val="21"/>
                <w:highlight w:val="none"/>
              </w:rPr>
            </w:pPr>
            <w:r>
              <w:rPr>
                <w:rFonts w:hint="eastAsia"/>
                <w:color w:val="auto"/>
                <w:highlight w:val="none"/>
              </w:rPr>
              <w:t>不低于Intel® 3rd Gen Xeon® Scalable Processors系列处理器，不低于2颗处理器，TDP 270W，不低于铂金、金牌全系列级别；不低于</w:t>
            </w:r>
            <w:r>
              <w:rPr>
                <w:color w:val="auto"/>
                <w:highlight w:val="none"/>
              </w:rPr>
              <w:t>2颗处理器，每处理器核心数目≥</w:t>
            </w:r>
            <w:r>
              <w:rPr>
                <w:rFonts w:hint="eastAsia"/>
                <w:color w:val="auto"/>
                <w:highlight w:val="none"/>
              </w:rPr>
              <w:t>32</w:t>
            </w:r>
            <w:r>
              <w:rPr>
                <w:color w:val="auto"/>
                <w:highlight w:val="none"/>
              </w:rPr>
              <w:t>个，主频≥2.</w:t>
            </w:r>
            <w:r>
              <w:rPr>
                <w:rFonts w:hint="eastAsia"/>
                <w:color w:val="auto"/>
                <w:highlight w:val="none"/>
              </w:rPr>
              <w:t>6</w:t>
            </w:r>
            <w:r>
              <w:rPr>
                <w:color w:val="auto"/>
                <w:highlight w:val="none"/>
              </w:rPr>
              <w:t>GHz；</w:t>
            </w:r>
          </w:p>
        </w:tc>
        <w:tc>
          <w:tcPr>
            <w:tcW w:w="1486" w:type="dxa"/>
            <w:tcBorders>
              <w:top w:val="nil"/>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提供官网截图</w:t>
            </w:r>
            <w:r>
              <w:rPr>
                <w:rFonts w:hint="eastAsia"/>
                <w:color w:val="auto"/>
                <w:highlight w:val="none"/>
              </w:rPr>
              <w:t>或产品彩页等</w:t>
            </w:r>
            <w:r>
              <w:rPr>
                <w:color w:val="auto"/>
                <w:highlight w:val="none"/>
              </w:rPr>
              <w:t>证明</w:t>
            </w:r>
            <w:r>
              <w:rPr>
                <w:rFonts w:hint="eastAsia"/>
                <w:color w:val="auto"/>
                <w:highlight w:val="none"/>
              </w:rPr>
              <w:t>材料</w:t>
            </w:r>
            <w:r>
              <w:rPr>
                <w:rFonts w:hint="eastAsia" w:ascii="宋体" w:hAnsi="宋体" w:cs="宋体"/>
                <w:color w:val="auto"/>
                <w:szCs w:val="21"/>
                <w:highlight w:val="none"/>
              </w:rPr>
              <w:t>　</w:t>
            </w:r>
          </w:p>
        </w:tc>
      </w:tr>
      <w:tr>
        <w:tblPrEx>
          <w:tblCellMar>
            <w:top w:w="0" w:type="dxa"/>
            <w:left w:w="108" w:type="dxa"/>
            <w:bottom w:w="0" w:type="dxa"/>
            <w:right w:w="108" w:type="dxa"/>
          </w:tblCellMar>
        </w:tblPrEx>
        <w:trPr>
          <w:trHeight w:val="600" w:hRule="atLeast"/>
          <w:jc w:val="center"/>
        </w:trPr>
        <w:tc>
          <w:tcPr>
            <w:tcW w:w="665"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17" w:type="dxa"/>
            <w:tcBorders>
              <w:top w:val="nil"/>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374" w:type="dxa"/>
            <w:tcBorders>
              <w:top w:val="nil"/>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内存情况</w:t>
            </w:r>
          </w:p>
        </w:tc>
        <w:tc>
          <w:tcPr>
            <w:tcW w:w="5197" w:type="dxa"/>
            <w:tcBorders>
              <w:top w:val="nil"/>
              <w:left w:val="nil"/>
              <w:bottom w:val="single" w:color="auto" w:sz="4" w:space="0"/>
              <w:right w:val="single" w:color="auto" w:sz="4" w:space="0"/>
            </w:tcBorders>
            <w:vAlign w:val="center"/>
          </w:tcPr>
          <w:p>
            <w:pPr>
              <w:rPr>
                <w:rFonts w:hint="eastAsia" w:ascii="宋体" w:hAnsi="宋体" w:cs="宋体"/>
                <w:color w:val="auto"/>
                <w:szCs w:val="21"/>
                <w:highlight w:val="none"/>
              </w:rPr>
            </w:pPr>
            <w:r>
              <w:rPr>
                <w:color w:val="auto"/>
                <w:highlight w:val="none"/>
              </w:rPr>
              <w:t>配置≥</w:t>
            </w:r>
            <w:r>
              <w:rPr>
                <w:rFonts w:hint="eastAsia"/>
                <w:color w:val="auto"/>
                <w:highlight w:val="none"/>
              </w:rPr>
              <w:t>512</w:t>
            </w:r>
            <w:r>
              <w:rPr>
                <w:color w:val="auto"/>
                <w:highlight w:val="none"/>
              </w:rPr>
              <w:t>GB DDR4 3200内存，</w:t>
            </w:r>
            <w:r>
              <w:rPr>
                <w:rFonts w:hint="eastAsia"/>
                <w:color w:val="auto"/>
                <w:highlight w:val="none"/>
              </w:rPr>
              <w:t>不低于</w:t>
            </w:r>
            <w:r>
              <w:rPr>
                <w:color w:val="auto"/>
                <w:highlight w:val="none"/>
              </w:rPr>
              <w:t>32条3200MT/s DDR4 ECC内存，内存支持RDIMM类型，可提供优异的速度、高可用性及最多4T的内存容量</w:t>
            </w:r>
          </w:p>
        </w:tc>
        <w:tc>
          <w:tcPr>
            <w:tcW w:w="1486" w:type="dxa"/>
            <w:tcBorders>
              <w:top w:val="nil"/>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提供官网截图</w:t>
            </w:r>
            <w:r>
              <w:rPr>
                <w:rFonts w:hint="eastAsia"/>
                <w:color w:val="auto"/>
                <w:highlight w:val="none"/>
              </w:rPr>
              <w:t>或产品彩页等</w:t>
            </w:r>
            <w:r>
              <w:rPr>
                <w:color w:val="auto"/>
                <w:highlight w:val="none"/>
              </w:rPr>
              <w:t>证明</w:t>
            </w:r>
            <w:r>
              <w:rPr>
                <w:rFonts w:hint="eastAsia"/>
                <w:color w:val="auto"/>
                <w:highlight w:val="none"/>
              </w:rPr>
              <w:t>材料</w:t>
            </w:r>
          </w:p>
        </w:tc>
      </w:tr>
      <w:tr>
        <w:tblPrEx>
          <w:tblCellMar>
            <w:top w:w="0" w:type="dxa"/>
            <w:left w:w="108" w:type="dxa"/>
            <w:bottom w:w="0" w:type="dxa"/>
            <w:right w:w="108" w:type="dxa"/>
          </w:tblCellMar>
        </w:tblPrEx>
        <w:trPr>
          <w:trHeight w:val="600" w:hRule="atLeast"/>
          <w:jc w:val="center"/>
        </w:trPr>
        <w:tc>
          <w:tcPr>
            <w:tcW w:w="665"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17" w:type="dxa"/>
            <w:tcBorders>
              <w:top w:val="nil"/>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374" w:type="dxa"/>
            <w:tcBorders>
              <w:top w:val="nil"/>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主板内存槽数量</w:t>
            </w:r>
          </w:p>
        </w:tc>
        <w:tc>
          <w:tcPr>
            <w:tcW w:w="5197" w:type="dxa"/>
            <w:tcBorders>
              <w:top w:val="nil"/>
              <w:left w:val="nil"/>
              <w:bottom w:val="single" w:color="auto" w:sz="4" w:space="0"/>
              <w:right w:val="single" w:color="auto" w:sz="4" w:space="0"/>
            </w:tcBorders>
            <w:vAlign w:val="center"/>
          </w:tcPr>
          <w:p>
            <w:pPr>
              <w:rPr>
                <w:rFonts w:hint="eastAsia" w:ascii="宋体" w:hAnsi="宋体" w:cs="宋体"/>
                <w:color w:val="auto"/>
                <w:szCs w:val="21"/>
                <w:highlight w:val="none"/>
              </w:rPr>
            </w:pPr>
            <w:r>
              <w:rPr>
                <w:color w:val="auto"/>
                <w:highlight w:val="none"/>
              </w:rPr>
              <w:t>配置≥8个2.5寸热插拔硬盘槽位</w:t>
            </w:r>
          </w:p>
        </w:tc>
        <w:tc>
          <w:tcPr>
            <w:tcW w:w="1486" w:type="dxa"/>
            <w:tcBorders>
              <w:top w:val="nil"/>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提供官网截图</w:t>
            </w:r>
            <w:r>
              <w:rPr>
                <w:rFonts w:hint="eastAsia"/>
                <w:color w:val="auto"/>
                <w:highlight w:val="none"/>
              </w:rPr>
              <w:t>或产品彩页等</w:t>
            </w:r>
            <w:r>
              <w:rPr>
                <w:color w:val="auto"/>
                <w:highlight w:val="none"/>
              </w:rPr>
              <w:t>证明</w:t>
            </w:r>
            <w:r>
              <w:rPr>
                <w:rFonts w:hint="eastAsia"/>
                <w:color w:val="auto"/>
                <w:highlight w:val="none"/>
              </w:rPr>
              <w:t>材料</w:t>
            </w:r>
          </w:p>
        </w:tc>
      </w:tr>
      <w:tr>
        <w:tblPrEx>
          <w:tblCellMar>
            <w:top w:w="0" w:type="dxa"/>
            <w:left w:w="108" w:type="dxa"/>
            <w:bottom w:w="0" w:type="dxa"/>
            <w:right w:w="108" w:type="dxa"/>
          </w:tblCellMar>
        </w:tblPrEx>
        <w:trPr>
          <w:trHeight w:val="600" w:hRule="atLeast"/>
          <w:jc w:val="center"/>
        </w:trPr>
        <w:tc>
          <w:tcPr>
            <w:tcW w:w="665"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917" w:type="dxa"/>
            <w:tcBorders>
              <w:top w:val="nil"/>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nil"/>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接口</w:t>
            </w:r>
          </w:p>
        </w:tc>
        <w:tc>
          <w:tcPr>
            <w:tcW w:w="5197" w:type="dxa"/>
            <w:tcBorders>
              <w:top w:val="nil"/>
              <w:left w:val="nil"/>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color w:val="auto"/>
                <w:highlight w:val="none"/>
              </w:rPr>
              <w:t>前置不少于1个USB3.0接口，不少于1个USB2.0接口，不少于1个VGA接口，后置不少于2个USB3.0接口，不少于1个VGA接口， 不少于1个UART串口，不少于1个管理口；</w:t>
            </w:r>
          </w:p>
        </w:tc>
        <w:tc>
          <w:tcPr>
            <w:tcW w:w="1486" w:type="dxa"/>
            <w:tcBorders>
              <w:top w:val="nil"/>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提供官网截图</w:t>
            </w:r>
            <w:r>
              <w:rPr>
                <w:rFonts w:hint="eastAsia"/>
                <w:color w:val="auto"/>
                <w:highlight w:val="none"/>
              </w:rPr>
              <w:t>或产品彩页等</w:t>
            </w:r>
            <w:r>
              <w:rPr>
                <w:color w:val="auto"/>
                <w:highlight w:val="none"/>
              </w:rPr>
              <w:t>证明</w:t>
            </w:r>
            <w:r>
              <w:rPr>
                <w:rFonts w:hint="eastAsia"/>
                <w:color w:val="auto"/>
                <w:highlight w:val="none"/>
              </w:rPr>
              <w:t>材料</w:t>
            </w:r>
          </w:p>
        </w:tc>
      </w:tr>
      <w:tr>
        <w:tblPrEx>
          <w:tblCellMar>
            <w:top w:w="0" w:type="dxa"/>
            <w:left w:w="108" w:type="dxa"/>
            <w:bottom w:w="0" w:type="dxa"/>
            <w:right w:w="108" w:type="dxa"/>
          </w:tblCellMar>
        </w:tblPrEx>
        <w:trPr>
          <w:trHeight w:val="60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color w:val="auto"/>
                <w:highlight w:val="none"/>
              </w:rPr>
              <w:t>硬盘</w:t>
            </w:r>
          </w:p>
        </w:tc>
        <w:tc>
          <w:tcPr>
            <w:tcW w:w="5197" w:type="dxa"/>
            <w:tcBorders>
              <w:top w:val="single" w:color="auto" w:sz="4" w:space="0"/>
              <w:left w:val="nil"/>
              <w:bottom w:val="single" w:color="auto" w:sz="4" w:space="0"/>
              <w:right w:val="single" w:color="auto" w:sz="4" w:space="0"/>
            </w:tcBorders>
          </w:tcPr>
          <w:p>
            <w:pPr>
              <w:rPr>
                <w:rFonts w:hint="eastAsia" w:ascii="宋体" w:hAnsi="宋体" w:cs="宋体"/>
                <w:color w:val="auto"/>
                <w:szCs w:val="21"/>
                <w:highlight w:val="none"/>
              </w:rPr>
            </w:pPr>
            <w:r>
              <w:rPr>
                <w:color w:val="auto"/>
                <w:highlight w:val="none"/>
              </w:rPr>
              <w:t>配置</w:t>
            </w:r>
            <w:r>
              <w:rPr>
                <w:rFonts w:hint="eastAsia"/>
                <w:color w:val="auto"/>
                <w:highlight w:val="none"/>
              </w:rPr>
              <w:t>不少于</w:t>
            </w:r>
            <w:r>
              <w:rPr>
                <w:color w:val="auto"/>
                <w:highlight w:val="none"/>
              </w:rPr>
              <w:t>2块480GB SSD硬盘</w:t>
            </w:r>
            <w:r>
              <w:rPr>
                <w:rFonts w:hint="eastAsia"/>
                <w:color w:val="auto"/>
                <w:highlight w:val="none"/>
              </w:rPr>
              <w:t>+</w:t>
            </w:r>
            <w:r>
              <w:rPr>
                <w:color w:val="auto"/>
                <w:highlight w:val="none"/>
              </w:rPr>
              <w:t>2块</w:t>
            </w:r>
            <w:r>
              <w:rPr>
                <w:rFonts w:hint="eastAsia"/>
                <w:color w:val="auto"/>
                <w:highlight w:val="none"/>
              </w:rPr>
              <w:t>1.92TB</w:t>
            </w:r>
            <w:r>
              <w:rPr>
                <w:color w:val="auto"/>
                <w:highlight w:val="none"/>
              </w:rPr>
              <w:t xml:space="preserve"> SSD硬盘；配置≥8个2.5寸热插拔硬盘槽位，最大支持20块3.5”硬盘或39块2.5”硬盘</w:t>
            </w:r>
            <w:r>
              <w:rPr>
                <w:rFonts w:hint="eastAsia"/>
                <w:color w:val="auto"/>
                <w:highlight w:val="none"/>
              </w:rPr>
              <w:t>，NVMe硬盘支持，以及最大支持28个U.2 NVMe硬盘，支持不少于2个后置基于SATA总线的M.2 SSD硬盘，支持不少于2个内置SD存储器，支持不少于2个后置短RSSD存储模块</w:t>
            </w:r>
            <w:r>
              <w:rPr>
                <w:color w:val="auto"/>
                <w:highlight w:val="none"/>
              </w:rPr>
              <w:t>；</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提供官网截图</w:t>
            </w:r>
            <w:r>
              <w:rPr>
                <w:rFonts w:hint="eastAsia"/>
                <w:color w:val="auto"/>
                <w:highlight w:val="none"/>
              </w:rPr>
              <w:t>或产品彩页等</w:t>
            </w:r>
            <w:r>
              <w:rPr>
                <w:color w:val="auto"/>
                <w:highlight w:val="none"/>
              </w:rPr>
              <w:t>证明</w:t>
            </w:r>
            <w:r>
              <w:rPr>
                <w:rFonts w:hint="eastAsia"/>
                <w:color w:val="auto"/>
                <w:highlight w:val="none"/>
              </w:rPr>
              <w:t>材料</w:t>
            </w:r>
          </w:p>
        </w:tc>
      </w:tr>
      <w:tr>
        <w:tblPrEx>
          <w:tblCellMar>
            <w:top w:w="0" w:type="dxa"/>
            <w:left w:w="108" w:type="dxa"/>
            <w:bottom w:w="0" w:type="dxa"/>
            <w:right w:w="108" w:type="dxa"/>
          </w:tblCellMar>
        </w:tblPrEx>
        <w:trPr>
          <w:trHeight w:val="60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RAID卡</w:t>
            </w:r>
          </w:p>
        </w:tc>
        <w:tc>
          <w:tcPr>
            <w:tcW w:w="5197"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szCs w:val="21"/>
                <w:highlight w:val="none"/>
              </w:rPr>
            </w:pPr>
            <w:r>
              <w:rPr>
                <w:color w:val="auto"/>
                <w:highlight w:val="none"/>
              </w:rPr>
              <w:t>配置</w:t>
            </w:r>
            <w:r>
              <w:rPr>
                <w:rFonts w:hint="eastAsia"/>
                <w:color w:val="auto"/>
                <w:highlight w:val="none"/>
              </w:rPr>
              <w:t>不少于4</w:t>
            </w:r>
            <w:r>
              <w:rPr>
                <w:color w:val="auto"/>
                <w:highlight w:val="none"/>
              </w:rPr>
              <w:t>GB缓存8通道高性能SAS RAID卡，板载PCH支持14*SATA接口，Intel板载NVME控制器，可选配Intel NVME Raid Key</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提供官网截图</w:t>
            </w:r>
            <w:r>
              <w:rPr>
                <w:rFonts w:hint="eastAsia"/>
                <w:color w:val="auto"/>
                <w:highlight w:val="none"/>
              </w:rPr>
              <w:t>或产品彩页等</w:t>
            </w:r>
            <w:r>
              <w:rPr>
                <w:color w:val="auto"/>
                <w:highlight w:val="none"/>
              </w:rPr>
              <w:t>证明</w:t>
            </w:r>
            <w:r>
              <w:rPr>
                <w:rFonts w:hint="eastAsia"/>
                <w:color w:val="auto"/>
                <w:highlight w:val="none"/>
              </w:rPr>
              <w:t>材料</w:t>
            </w:r>
          </w:p>
        </w:tc>
      </w:tr>
      <w:tr>
        <w:tblPrEx>
          <w:tblCellMar>
            <w:top w:w="0" w:type="dxa"/>
            <w:left w:w="108" w:type="dxa"/>
            <w:bottom w:w="0" w:type="dxa"/>
            <w:right w:w="108" w:type="dxa"/>
          </w:tblCellMar>
        </w:tblPrEx>
        <w:trPr>
          <w:trHeight w:val="60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网络</w:t>
            </w:r>
          </w:p>
        </w:tc>
        <w:tc>
          <w:tcPr>
            <w:tcW w:w="5197" w:type="dxa"/>
            <w:tcBorders>
              <w:top w:val="single" w:color="auto" w:sz="4" w:space="0"/>
              <w:left w:val="nil"/>
              <w:bottom w:val="single" w:color="auto" w:sz="4" w:space="0"/>
              <w:right w:val="single" w:color="auto" w:sz="4" w:space="0"/>
            </w:tcBorders>
          </w:tcPr>
          <w:p>
            <w:pPr>
              <w:rPr>
                <w:rFonts w:hint="eastAsia" w:ascii="宋体" w:hAnsi="宋体" w:cs="宋体"/>
                <w:color w:val="auto"/>
                <w:szCs w:val="21"/>
                <w:highlight w:val="none"/>
              </w:rPr>
            </w:pPr>
            <w:r>
              <w:rPr>
                <w:color w:val="auto"/>
                <w:highlight w:val="none"/>
              </w:rPr>
              <w:t>配置</w:t>
            </w:r>
            <w:r>
              <w:rPr>
                <w:rFonts w:hint="eastAsia"/>
                <w:color w:val="auto"/>
                <w:highlight w:val="none"/>
              </w:rPr>
              <w:t>不少于</w:t>
            </w:r>
            <w:r>
              <w:rPr>
                <w:color w:val="auto"/>
                <w:highlight w:val="none"/>
              </w:rPr>
              <w:t>4个高性能千兆网口+</w:t>
            </w:r>
            <w:r>
              <w:rPr>
                <w:rFonts w:hint="eastAsia"/>
                <w:color w:val="auto"/>
                <w:highlight w:val="none"/>
              </w:rPr>
              <w:t>2</w:t>
            </w:r>
            <w:r>
              <w:rPr>
                <w:color w:val="auto"/>
                <w:highlight w:val="none"/>
              </w:rPr>
              <w:t>个高性能万兆网卡（含多模模块），</w:t>
            </w:r>
            <w:r>
              <w:rPr>
                <w:rFonts w:hint="eastAsia"/>
                <w:color w:val="auto"/>
                <w:highlight w:val="none"/>
              </w:rPr>
              <w:t>支持OCP3.0网络模块，支持不低于1Gb/10Gb/25Gb/40Gb/100Gb/200Gb速率，支持不少于1/2/4个以太网或光纤网络接口，支持不少于板载#双口万兆网口10Gb/s，支持不低于标准1Gb/10Gb/25Gb/40G/100Gb以太网络,支持不少于1/2/4个以太网接口</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提供官网截图</w:t>
            </w:r>
            <w:r>
              <w:rPr>
                <w:rFonts w:hint="eastAsia"/>
                <w:color w:val="auto"/>
                <w:highlight w:val="none"/>
              </w:rPr>
              <w:t>或产品彩页等</w:t>
            </w:r>
            <w:r>
              <w:rPr>
                <w:color w:val="auto"/>
                <w:highlight w:val="none"/>
              </w:rPr>
              <w:t>证明</w:t>
            </w:r>
            <w:r>
              <w:rPr>
                <w:rFonts w:hint="eastAsia"/>
                <w:color w:val="auto"/>
                <w:highlight w:val="none"/>
              </w:rPr>
              <w:t>材料</w:t>
            </w:r>
          </w:p>
        </w:tc>
      </w:tr>
      <w:tr>
        <w:tblPrEx>
          <w:tblCellMar>
            <w:top w:w="0" w:type="dxa"/>
            <w:left w:w="108" w:type="dxa"/>
            <w:bottom w:w="0" w:type="dxa"/>
            <w:right w:w="108" w:type="dxa"/>
          </w:tblCellMar>
        </w:tblPrEx>
        <w:trPr>
          <w:trHeight w:val="60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color w:val="auto"/>
                <w:highlight w:val="none"/>
              </w:rPr>
              <w:t>I/O扩展</w:t>
            </w:r>
          </w:p>
        </w:tc>
        <w:tc>
          <w:tcPr>
            <w:tcW w:w="5197" w:type="dxa"/>
            <w:tcBorders>
              <w:top w:val="single" w:color="auto" w:sz="4" w:space="0"/>
              <w:left w:val="nil"/>
              <w:bottom w:val="single" w:color="auto" w:sz="4" w:space="0"/>
              <w:right w:val="single" w:color="auto" w:sz="4" w:space="0"/>
            </w:tcBorders>
          </w:tcPr>
          <w:p>
            <w:pPr>
              <w:rPr>
                <w:rFonts w:hint="eastAsia" w:ascii="宋体" w:hAnsi="宋体" w:cs="宋体"/>
                <w:color w:val="auto"/>
                <w:szCs w:val="21"/>
                <w:highlight w:val="none"/>
              </w:rPr>
            </w:pPr>
            <w:r>
              <w:rPr>
                <w:color w:val="auto"/>
                <w:highlight w:val="none"/>
              </w:rPr>
              <w:t>提供≥1</w:t>
            </w:r>
            <w:r>
              <w:rPr>
                <w:rFonts w:hint="eastAsia"/>
                <w:color w:val="auto"/>
                <w:highlight w:val="none"/>
              </w:rPr>
              <w:t>1</w:t>
            </w:r>
            <w:r>
              <w:rPr>
                <w:color w:val="auto"/>
                <w:highlight w:val="none"/>
              </w:rPr>
              <w:t>个标准PCIE3.0插槽，支持</w:t>
            </w:r>
            <w:r>
              <w:rPr>
                <w:rFonts w:hint="eastAsia"/>
                <w:color w:val="auto"/>
                <w:highlight w:val="none"/>
              </w:rPr>
              <w:t>不少于</w:t>
            </w:r>
            <w:r>
              <w:rPr>
                <w:color w:val="auto"/>
                <w:highlight w:val="none"/>
              </w:rPr>
              <w:t>4个双宽GPU或8个单宽GPU/显卡</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提供官网截图</w:t>
            </w:r>
            <w:r>
              <w:rPr>
                <w:rFonts w:hint="eastAsia"/>
                <w:color w:val="auto"/>
                <w:highlight w:val="none"/>
              </w:rPr>
              <w:t>或产品彩页等</w:t>
            </w:r>
            <w:r>
              <w:rPr>
                <w:color w:val="auto"/>
                <w:highlight w:val="none"/>
              </w:rPr>
              <w:t>证明</w:t>
            </w:r>
            <w:r>
              <w:rPr>
                <w:rFonts w:hint="eastAsia"/>
                <w:color w:val="auto"/>
                <w:highlight w:val="none"/>
              </w:rPr>
              <w:t>材料</w:t>
            </w:r>
          </w:p>
        </w:tc>
      </w:tr>
      <w:tr>
        <w:tblPrEx>
          <w:tblCellMar>
            <w:top w:w="0" w:type="dxa"/>
            <w:left w:w="108" w:type="dxa"/>
            <w:bottom w:w="0" w:type="dxa"/>
            <w:right w:w="108" w:type="dxa"/>
          </w:tblCellMar>
        </w:tblPrEx>
        <w:trPr>
          <w:trHeight w:val="35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color w:val="auto"/>
                <w:highlight w:val="none"/>
              </w:rPr>
              <w:t>电源</w:t>
            </w:r>
          </w:p>
        </w:tc>
        <w:tc>
          <w:tcPr>
            <w:tcW w:w="5197" w:type="dxa"/>
            <w:tcBorders>
              <w:top w:val="single" w:color="auto" w:sz="4" w:space="0"/>
              <w:left w:val="nil"/>
              <w:bottom w:val="single" w:color="auto" w:sz="4" w:space="0"/>
              <w:right w:val="single" w:color="auto" w:sz="4" w:space="0"/>
            </w:tcBorders>
          </w:tcPr>
          <w:p>
            <w:pPr>
              <w:pStyle w:val="12"/>
              <w:spacing w:before="9" w:line="249" w:lineRule="auto"/>
              <w:ind w:left="108" w:right="161"/>
              <w:jc w:val="both"/>
              <w:rPr>
                <w:rFonts w:hint="eastAsia"/>
                <w:color w:val="auto"/>
                <w:sz w:val="21"/>
                <w:szCs w:val="21"/>
                <w:highlight w:val="none"/>
                <w:lang w:eastAsia="zh-CN"/>
              </w:rPr>
            </w:pPr>
            <w:r>
              <w:rPr>
                <w:rFonts w:ascii="Calibri" w:hAnsi="Calibri" w:cs="Times New Roman"/>
                <w:color w:val="auto"/>
                <w:highlight w:val="none"/>
                <w:lang w:eastAsia="zh-CN"/>
              </w:rPr>
              <w:t>配置</w:t>
            </w:r>
            <w:r>
              <w:rPr>
                <w:rFonts w:hint="eastAsia" w:ascii="Calibri" w:hAnsi="Calibri" w:cs="Times New Roman"/>
                <w:color w:val="auto"/>
                <w:highlight w:val="none"/>
                <w:lang w:eastAsia="zh-CN"/>
              </w:rPr>
              <w:t>≥800W</w:t>
            </w:r>
            <w:r>
              <w:rPr>
                <w:rFonts w:ascii="Calibri" w:hAnsi="Calibri" w:cs="Times New Roman"/>
                <w:color w:val="auto"/>
                <w:highlight w:val="none"/>
                <w:lang w:eastAsia="zh-CN"/>
              </w:rPr>
              <w:t>热插拔冗余电源</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提供官网截图</w:t>
            </w:r>
            <w:r>
              <w:rPr>
                <w:rFonts w:hint="eastAsia"/>
                <w:color w:val="auto"/>
                <w:highlight w:val="none"/>
              </w:rPr>
              <w:t>或产品彩页等</w:t>
            </w:r>
            <w:r>
              <w:rPr>
                <w:color w:val="auto"/>
                <w:highlight w:val="none"/>
              </w:rPr>
              <w:t>证明</w:t>
            </w:r>
            <w:r>
              <w:rPr>
                <w:rFonts w:hint="eastAsia"/>
                <w:color w:val="auto"/>
                <w:highlight w:val="none"/>
              </w:rPr>
              <w:t>材料</w:t>
            </w:r>
          </w:p>
        </w:tc>
      </w:tr>
      <w:tr>
        <w:tblPrEx>
          <w:tblCellMar>
            <w:top w:w="0" w:type="dxa"/>
            <w:left w:w="108" w:type="dxa"/>
            <w:bottom w:w="0" w:type="dxa"/>
            <w:right w:w="108" w:type="dxa"/>
          </w:tblCellMar>
        </w:tblPrEx>
        <w:trPr>
          <w:trHeight w:val="60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color w:val="auto"/>
                <w:highlight w:val="none"/>
              </w:rPr>
              <w:t>系统管理</w:t>
            </w:r>
          </w:p>
        </w:tc>
        <w:tc>
          <w:tcPr>
            <w:tcW w:w="5197"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szCs w:val="21"/>
                <w:highlight w:val="none"/>
              </w:rPr>
            </w:pPr>
            <w:r>
              <w:rPr>
                <w:color w:val="auto"/>
                <w:highlight w:val="none"/>
              </w:rPr>
              <w:t>配置≥1Gb独立的远程管理控制端口；可实现与操作系统无关的远程对服务器的完全控制，包括远程的开机、关机、重启、更新Firmware、虚拟光驱、虚拟文件夹等操作，提供服务器健康日记、服务器控制台录屏/回放功能，能够提供电源监控，可支持动态功率封顶</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提供官网截图</w:t>
            </w:r>
            <w:r>
              <w:rPr>
                <w:rFonts w:hint="eastAsia"/>
                <w:color w:val="auto"/>
                <w:highlight w:val="none"/>
              </w:rPr>
              <w:t>或产品彩页等</w:t>
            </w:r>
            <w:r>
              <w:rPr>
                <w:color w:val="auto"/>
                <w:highlight w:val="none"/>
              </w:rPr>
              <w:t>证明</w:t>
            </w:r>
            <w:r>
              <w:rPr>
                <w:rFonts w:hint="eastAsia"/>
                <w:color w:val="auto"/>
                <w:highlight w:val="none"/>
              </w:rPr>
              <w:t>材料</w:t>
            </w:r>
          </w:p>
        </w:tc>
      </w:tr>
      <w:tr>
        <w:tblPrEx>
          <w:tblCellMar>
            <w:top w:w="0" w:type="dxa"/>
            <w:left w:w="108" w:type="dxa"/>
            <w:bottom w:w="0" w:type="dxa"/>
            <w:right w:w="108" w:type="dxa"/>
          </w:tblCellMar>
        </w:tblPrEx>
        <w:trPr>
          <w:trHeight w:val="60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color w:val="auto"/>
                <w:highlight w:val="none"/>
              </w:rPr>
              <w:t>智能管理</w:t>
            </w:r>
          </w:p>
        </w:tc>
        <w:tc>
          <w:tcPr>
            <w:tcW w:w="5197"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szCs w:val="21"/>
                <w:highlight w:val="none"/>
              </w:rPr>
            </w:pPr>
            <w:r>
              <w:rPr>
                <w:color w:val="auto"/>
                <w:highlight w:val="none"/>
              </w:rPr>
              <w:t>基于人性化设计理念，整套系统可实现免工具维护。通过部分结构件增强优化，实现快速拆装，大大缩短运维时间。通过智能调控技术配合先进的风冷系统实现可使整机工作在良好环境，保障系统稳定运行。应用BMC技术，使技术人员可以通过Web管理界面、故障诊断LED等指引设备，并可通过前面板上的UID指示灯标记有故障的机器，快速找到已经发生故障（或者正在发生故障）的组件，从而简化维护工作、加快解决问题的速度，并且提高系统可用性。通过BMC来监控系统参数，提前发出告警信息，使技术人员能够采取相应措施，保证机器稳</w:t>
            </w:r>
            <w:r>
              <w:rPr>
                <w:rFonts w:hint="eastAsia"/>
                <w:color w:val="auto"/>
                <w:highlight w:val="none"/>
              </w:rPr>
              <w:t>定运行，并减少宕机的几率</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提供官网截图</w:t>
            </w:r>
            <w:r>
              <w:rPr>
                <w:rFonts w:hint="eastAsia"/>
                <w:color w:val="auto"/>
                <w:highlight w:val="none"/>
              </w:rPr>
              <w:t>或产品彩页等</w:t>
            </w:r>
            <w:r>
              <w:rPr>
                <w:color w:val="auto"/>
                <w:highlight w:val="none"/>
              </w:rPr>
              <w:t>证明</w:t>
            </w:r>
            <w:r>
              <w:rPr>
                <w:rFonts w:hint="eastAsia"/>
                <w:color w:val="auto"/>
                <w:highlight w:val="none"/>
              </w:rPr>
              <w:t>材料</w:t>
            </w:r>
          </w:p>
        </w:tc>
      </w:tr>
      <w:tr>
        <w:tblPrEx>
          <w:tblCellMar>
            <w:top w:w="0" w:type="dxa"/>
            <w:left w:w="108" w:type="dxa"/>
            <w:bottom w:w="0" w:type="dxa"/>
            <w:right w:w="108" w:type="dxa"/>
          </w:tblCellMar>
        </w:tblPrEx>
        <w:trPr>
          <w:trHeight w:val="60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color w:val="auto"/>
                <w:highlight w:val="none"/>
              </w:rPr>
              <w:t>维保服务</w:t>
            </w:r>
          </w:p>
        </w:tc>
        <w:tc>
          <w:tcPr>
            <w:tcW w:w="5197"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szCs w:val="21"/>
                <w:highlight w:val="none"/>
              </w:rPr>
            </w:pPr>
            <w:r>
              <w:rPr>
                <w:color w:val="auto"/>
                <w:highlight w:val="none"/>
              </w:rPr>
              <w:t>三年原厂维保服务</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提供承诺函</w:t>
            </w:r>
          </w:p>
        </w:tc>
      </w:tr>
      <w:tr>
        <w:tblPrEx>
          <w:tblCellMar>
            <w:top w:w="0" w:type="dxa"/>
            <w:left w:w="108" w:type="dxa"/>
            <w:bottom w:w="0" w:type="dxa"/>
            <w:right w:w="108" w:type="dxa"/>
          </w:tblCellMar>
        </w:tblPrEx>
        <w:trPr>
          <w:trHeight w:val="60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color w:val="auto"/>
                <w:highlight w:val="none"/>
              </w:rPr>
              <w:t>SPIM功能</w:t>
            </w:r>
          </w:p>
        </w:tc>
        <w:tc>
          <w:tcPr>
            <w:tcW w:w="5197" w:type="dxa"/>
            <w:tcBorders>
              <w:top w:val="single" w:color="auto" w:sz="4" w:space="0"/>
              <w:left w:val="nil"/>
              <w:bottom w:val="single" w:color="auto" w:sz="4" w:space="0"/>
              <w:right w:val="single" w:color="auto" w:sz="4" w:space="0"/>
            </w:tcBorders>
          </w:tcPr>
          <w:p>
            <w:pPr>
              <w:rPr>
                <w:rFonts w:hint="eastAsia" w:ascii="宋体" w:hAnsi="宋体" w:cs="宋体"/>
                <w:color w:val="auto"/>
                <w:szCs w:val="21"/>
                <w:highlight w:val="none"/>
              </w:rPr>
            </w:pPr>
            <w:r>
              <w:rPr>
                <w:rFonts w:hint="eastAsia"/>
                <w:color w:val="auto"/>
                <w:highlight w:val="none"/>
              </w:rPr>
              <w:t>服务器/存储/网络设备/安全设备清单配置，并提供管理界面截图证明；WebGUI图形化展示、可视化大屏、自定义首页，并提供管理界面截图证明；服务器秒级性能监控，并提供管理界面截图证明；多维报表，并提供管理界面截图证明；服务器全生命健康数据管理，并提供管理界面截图证明；智能能耗管理</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提供管理界面截图证明</w:t>
            </w:r>
          </w:p>
        </w:tc>
      </w:tr>
      <w:tr>
        <w:tblPrEx>
          <w:tblCellMar>
            <w:top w:w="0" w:type="dxa"/>
            <w:left w:w="108" w:type="dxa"/>
            <w:bottom w:w="0" w:type="dxa"/>
            <w:right w:w="108" w:type="dxa"/>
          </w:tblCellMar>
        </w:tblPrEx>
        <w:trPr>
          <w:trHeight w:val="60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color w:val="auto"/>
                <w:highlight w:val="none"/>
              </w:rPr>
              <w:t>可靠性硬件设计</w:t>
            </w:r>
          </w:p>
        </w:tc>
        <w:tc>
          <w:tcPr>
            <w:tcW w:w="5197" w:type="dxa"/>
            <w:tcBorders>
              <w:top w:val="single" w:color="auto" w:sz="4" w:space="0"/>
              <w:left w:val="nil"/>
              <w:bottom w:val="single" w:color="auto" w:sz="4" w:space="0"/>
              <w:right w:val="single" w:color="auto" w:sz="4" w:space="0"/>
            </w:tcBorders>
          </w:tcPr>
          <w:p>
            <w:pPr>
              <w:rPr>
                <w:rFonts w:hint="eastAsia" w:ascii="宋体" w:hAnsi="宋体" w:cs="宋体"/>
                <w:color w:val="auto"/>
                <w:szCs w:val="21"/>
                <w:highlight w:val="none"/>
              </w:rPr>
            </w:pPr>
            <w:r>
              <w:rPr>
                <w:rFonts w:hint="eastAsia"/>
                <w:color w:val="auto"/>
                <w:highlight w:val="none"/>
              </w:rPr>
              <w:t>所投产品最低支持BMC/BIOS flash（ROM）硬件冗余、升级失败后自动回退或切换至另一片Flash启动</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提供测试报告</w:t>
            </w:r>
          </w:p>
        </w:tc>
      </w:tr>
      <w:tr>
        <w:tblPrEx>
          <w:tblCellMar>
            <w:top w:w="0" w:type="dxa"/>
            <w:left w:w="108" w:type="dxa"/>
            <w:bottom w:w="0" w:type="dxa"/>
            <w:right w:w="108" w:type="dxa"/>
          </w:tblCellMar>
        </w:tblPrEx>
        <w:trPr>
          <w:trHeight w:val="313"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环境适应性</w:t>
            </w:r>
          </w:p>
        </w:tc>
        <w:tc>
          <w:tcPr>
            <w:tcW w:w="5197" w:type="dxa"/>
            <w:tcBorders>
              <w:top w:val="single" w:color="auto" w:sz="4" w:space="0"/>
              <w:left w:val="nil"/>
              <w:bottom w:val="single" w:color="auto" w:sz="4" w:space="0"/>
              <w:right w:val="single" w:color="auto" w:sz="4" w:space="0"/>
            </w:tcBorders>
          </w:tcPr>
          <w:p>
            <w:pPr>
              <w:rPr>
                <w:rFonts w:hint="eastAsia" w:ascii="宋体" w:hAnsi="宋体" w:cs="宋体"/>
                <w:color w:val="auto"/>
                <w:szCs w:val="21"/>
                <w:highlight w:val="none"/>
              </w:rPr>
            </w:pPr>
            <w:r>
              <w:rPr>
                <w:rFonts w:hint="eastAsia" w:ascii="宋体" w:hAnsi="宋体" w:cs="宋体"/>
                <w:color w:val="auto"/>
                <w:szCs w:val="21"/>
                <w:highlight w:val="none"/>
              </w:rPr>
              <w:t>气候环境适应性应符合GB/T 9813.3 的有关规定，工作温度10～35℃，贮存运输温度-40～55℃；工作相对湿度 35</w:t>
            </w:r>
            <w:r>
              <w:rPr>
                <w:rFonts w:hint="eastAsia" w:ascii="宋体" w:hAnsi="宋体" w:cs="宋体"/>
                <w:color w:val="auto"/>
                <w:szCs w:val="21"/>
                <w:highlight w:val="none"/>
              </w:rPr>
              <w:drawing>
                <wp:inline distT="0" distB="0" distL="114300" distR="114300">
                  <wp:extent cx="51435" cy="83185"/>
                  <wp:effectExtent l="0" t="0" r="9525" b="8255"/>
                  <wp:docPr id="4843634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63451" name="图片 3"/>
                          <pic:cNvPicPr>
                            <a:picLocks noChangeAspect="1"/>
                          </pic:cNvPicPr>
                        </pic:nvPicPr>
                        <pic:blipFill>
                          <a:blip r:embed="rId4"/>
                          <a:stretch>
                            <a:fillRect/>
                          </a:stretch>
                        </pic:blipFill>
                        <pic:spPr>
                          <a:xfrm>
                            <a:off x="0" y="0"/>
                            <a:ext cx="51435" cy="83185"/>
                          </a:xfrm>
                          <a:prstGeom prst="rect">
                            <a:avLst/>
                          </a:prstGeom>
                          <a:noFill/>
                          <a:ln>
                            <a:noFill/>
                          </a:ln>
                        </pic:spPr>
                      </pic:pic>
                    </a:graphicData>
                  </a:graphic>
                </wp:inline>
              </w:drawing>
            </w:r>
            <w:r>
              <w:rPr>
                <w:rFonts w:hint="eastAsia" w:ascii="宋体" w:hAnsi="宋体" w:cs="宋体"/>
                <w:color w:val="auto"/>
                <w:szCs w:val="21"/>
                <w:highlight w:val="none"/>
              </w:rPr>
              <w:t xml:space="preserve">～80 </w:t>
            </w:r>
            <w:r>
              <w:rPr>
                <w:rFonts w:hint="eastAsia" w:ascii="宋体" w:hAnsi="宋体" w:cs="宋体"/>
                <w:color w:val="auto"/>
                <w:szCs w:val="21"/>
                <w:highlight w:val="none"/>
              </w:rPr>
              <w:drawing>
                <wp:inline distT="0" distB="0" distL="114300" distR="114300">
                  <wp:extent cx="51435" cy="83185"/>
                  <wp:effectExtent l="0" t="0" r="9525" b="8255"/>
                  <wp:docPr id="889141139" name="图片 88914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41139" name="图片 889141139"/>
                          <pic:cNvPicPr>
                            <a:picLocks noChangeAspect="1"/>
                          </pic:cNvPicPr>
                        </pic:nvPicPr>
                        <pic:blipFill>
                          <a:blip r:embed="rId4"/>
                          <a:stretch>
                            <a:fillRect/>
                          </a:stretch>
                        </pic:blipFill>
                        <pic:spPr>
                          <a:xfrm>
                            <a:off x="0" y="0"/>
                            <a:ext cx="51435" cy="83185"/>
                          </a:xfrm>
                          <a:prstGeom prst="rect">
                            <a:avLst/>
                          </a:prstGeom>
                          <a:noFill/>
                          <a:ln>
                            <a:noFill/>
                          </a:ln>
                        </pic:spPr>
                      </pic:pic>
                    </a:graphicData>
                  </a:graphic>
                </wp:inline>
              </w:drawing>
            </w:r>
            <w:r>
              <w:rPr>
                <w:rFonts w:hint="eastAsia" w:ascii="宋体" w:hAnsi="宋体" w:cs="宋体"/>
                <w:color w:val="auto"/>
                <w:szCs w:val="21"/>
                <w:highlight w:val="none"/>
              </w:rPr>
              <w:t>，贮存运输相对湿度 20％～93</w:t>
            </w:r>
            <w:r>
              <w:rPr>
                <w:rFonts w:hint="eastAsia" w:ascii="宋体" w:hAnsi="宋体" w:cs="宋体"/>
                <w:color w:val="auto"/>
                <w:szCs w:val="21"/>
                <w:highlight w:val="none"/>
              </w:rPr>
              <w:drawing>
                <wp:inline distT="0" distB="0" distL="114300" distR="114300">
                  <wp:extent cx="51435" cy="83185"/>
                  <wp:effectExtent l="0" t="0" r="9525" b="8255"/>
                  <wp:docPr id="15698534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53466" name="图片 1"/>
                          <pic:cNvPicPr>
                            <a:picLocks noChangeAspect="1"/>
                          </pic:cNvPicPr>
                        </pic:nvPicPr>
                        <pic:blipFill>
                          <a:blip r:embed="rId4"/>
                          <a:stretch>
                            <a:fillRect/>
                          </a:stretch>
                        </pic:blipFill>
                        <pic:spPr>
                          <a:xfrm>
                            <a:off x="0" y="0"/>
                            <a:ext cx="51435" cy="83185"/>
                          </a:xfrm>
                          <a:prstGeom prst="rect">
                            <a:avLst/>
                          </a:prstGeom>
                          <a:noFill/>
                          <a:ln>
                            <a:noFill/>
                          </a:ln>
                        </pic:spPr>
                      </pic:pic>
                    </a:graphicData>
                  </a:graphic>
                </wp:inline>
              </w:drawing>
            </w:r>
            <w:r>
              <w:rPr>
                <w:rFonts w:hint="eastAsia" w:ascii="宋体" w:hAnsi="宋体" w:cs="宋体"/>
                <w:color w:val="auto"/>
                <w:szCs w:val="21"/>
                <w:highlight w:val="none"/>
              </w:rPr>
              <w:t>（40℃）；大气压86～106kPa</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w:t>
            </w:r>
            <w:r>
              <w:rPr>
                <w:rFonts w:hint="eastAsia"/>
                <w:color w:val="auto"/>
                <w:highlight w:val="none"/>
              </w:rPr>
              <w:t>承诺函</w:t>
            </w:r>
          </w:p>
        </w:tc>
      </w:tr>
      <w:tr>
        <w:tblPrEx>
          <w:tblCellMar>
            <w:top w:w="0" w:type="dxa"/>
            <w:left w:w="108" w:type="dxa"/>
            <w:bottom w:w="0" w:type="dxa"/>
            <w:right w:w="108" w:type="dxa"/>
          </w:tblCellMar>
        </w:tblPrEx>
        <w:trPr>
          <w:trHeight w:val="318"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color w:val="auto"/>
                <w:highlight w:val="none"/>
              </w:rPr>
              <w:t>安全软件</w:t>
            </w:r>
          </w:p>
        </w:tc>
        <w:tc>
          <w:tcPr>
            <w:tcW w:w="5197" w:type="dxa"/>
            <w:tcBorders>
              <w:top w:val="single" w:color="auto" w:sz="4" w:space="0"/>
              <w:left w:val="nil"/>
              <w:bottom w:val="single" w:color="auto" w:sz="4" w:space="0"/>
              <w:right w:val="single" w:color="auto" w:sz="4" w:space="0"/>
            </w:tcBorders>
          </w:tcPr>
          <w:p>
            <w:pPr>
              <w:rPr>
                <w:rFonts w:hint="eastAsia" w:ascii="宋体" w:hAnsi="宋体" w:cs="宋体"/>
                <w:color w:val="auto"/>
                <w:szCs w:val="21"/>
                <w:highlight w:val="none"/>
              </w:rPr>
            </w:pPr>
            <w:r>
              <w:rPr>
                <w:rFonts w:hint="eastAsia"/>
                <w:color w:val="auto"/>
                <w:highlight w:val="none"/>
              </w:rPr>
              <w:t>支持硬盘数据安全擦除功能</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提供界面截图</w:t>
            </w:r>
          </w:p>
        </w:tc>
      </w:tr>
      <w:tr>
        <w:tblPrEx>
          <w:tblCellMar>
            <w:top w:w="0" w:type="dxa"/>
            <w:left w:w="108" w:type="dxa"/>
            <w:bottom w:w="0" w:type="dxa"/>
            <w:right w:w="108" w:type="dxa"/>
          </w:tblCellMar>
        </w:tblPrEx>
        <w:trPr>
          <w:trHeight w:val="35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噪声</w:t>
            </w:r>
          </w:p>
        </w:tc>
        <w:tc>
          <w:tcPr>
            <w:tcW w:w="5197" w:type="dxa"/>
            <w:tcBorders>
              <w:top w:val="single" w:color="auto" w:sz="4" w:space="0"/>
              <w:left w:val="nil"/>
              <w:bottom w:val="single" w:color="auto" w:sz="4" w:space="0"/>
              <w:right w:val="single" w:color="auto" w:sz="4" w:space="0"/>
            </w:tcBorders>
          </w:tcPr>
          <w:p>
            <w:pPr>
              <w:rPr>
                <w:rFonts w:hint="eastAsia" w:ascii="宋体" w:hAnsi="宋体" w:cs="宋体"/>
                <w:color w:val="auto"/>
                <w:szCs w:val="21"/>
                <w:highlight w:val="none"/>
              </w:rPr>
            </w:pPr>
            <w:r>
              <w:rPr>
                <w:rFonts w:hint="eastAsia" w:ascii="宋体" w:hAnsi="宋体" w:cs="宋体"/>
                <w:color w:val="auto"/>
                <w:szCs w:val="21"/>
                <w:highlight w:val="none"/>
              </w:rPr>
              <w:t xml:space="preserve">符合GB/T 9813.3 的有关规定 </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color w:val="auto"/>
                <w:highlight w:val="none"/>
              </w:rPr>
              <w:t>提供</w:t>
            </w:r>
            <w:r>
              <w:rPr>
                <w:rFonts w:hint="eastAsia"/>
                <w:color w:val="auto"/>
                <w:highlight w:val="none"/>
              </w:rPr>
              <w:t>承诺函</w:t>
            </w:r>
          </w:p>
        </w:tc>
      </w:tr>
      <w:tr>
        <w:tblPrEx>
          <w:tblCellMar>
            <w:top w:w="0" w:type="dxa"/>
            <w:left w:w="108" w:type="dxa"/>
            <w:bottom w:w="0" w:type="dxa"/>
            <w:right w:w="108" w:type="dxa"/>
          </w:tblCellMar>
        </w:tblPrEx>
        <w:trPr>
          <w:trHeight w:val="600"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9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color w:val="auto"/>
                <w:highlight w:val="none"/>
              </w:rPr>
              <w:t>#</w:t>
            </w:r>
          </w:p>
        </w:tc>
        <w:tc>
          <w:tcPr>
            <w:tcW w:w="1374"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服务升级</w:t>
            </w:r>
          </w:p>
        </w:tc>
        <w:tc>
          <w:tcPr>
            <w:tcW w:w="5197" w:type="dxa"/>
            <w:tcBorders>
              <w:top w:val="single" w:color="auto" w:sz="4" w:space="0"/>
              <w:left w:val="nil"/>
              <w:bottom w:val="single" w:color="auto" w:sz="4" w:space="0"/>
              <w:right w:val="single" w:color="auto" w:sz="4" w:space="0"/>
            </w:tcBorders>
          </w:tcPr>
          <w:p>
            <w:pPr>
              <w:rPr>
                <w:rFonts w:hint="eastAsia" w:ascii="宋体" w:hAnsi="宋体" w:cs="宋体"/>
                <w:color w:val="auto"/>
                <w:szCs w:val="21"/>
                <w:highlight w:val="none"/>
              </w:rPr>
            </w:pPr>
            <w:r>
              <w:rPr>
                <w:rFonts w:hint="eastAsia" w:ascii="宋体" w:hAnsi="宋体" w:cs="宋体"/>
                <w:color w:val="auto"/>
                <w:szCs w:val="21"/>
                <w:highlight w:val="none"/>
              </w:rPr>
              <w:t>支持服务器厂商自研的主机安全系统加固软件，从操作系统内核实现对服务器的安全加固，与服务器同一品牌。该系统可实现内核级安全加固，增强型身份认证、服务完整性检测、注册表防篡改机制等功能。主机安全加固软件具备公安部计算机信息系统安全专用产品销售许可证</w:t>
            </w:r>
          </w:p>
        </w:tc>
        <w:tc>
          <w:tcPr>
            <w:tcW w:w="148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提供官网上的查询截图及链接并加盖公章</w:t>
            </w:r>
          </w:p>
        </w:tc>
      </w:tr>
    </w:tbl>
    <w:p>
      <w:pPr>
        <w:rPr>
          <w:color w:val="auto"/>
          <w:highlight w:val="none"/>
        </w:rPr>
      </w:pPr>
    </w:p>
    <w:p>
      <w:pPr>
        <w:numPr>
          <w:ilvl w:val="0"/>
          <w:numId w:val="1"/>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交货时间</w:t>
      </w:r>
    </w:p>
    <w:p>
      <w:pPr>
        <w:pStyle w:val="13"/>
        <w:ind w:firstLine="480"/>
        <w:rPr>
          <w:rFonts w:ascii="Times New Roman" w:hAnsi="Times New Roman" w:eastAsia="宋体" w:cs="宋体"/>
          <w:bCs/>
          <w:color w:val="auto"/>
          <w:kern w:val="2"/>
          <w:sz w:val="24"/>
          <w:szCs w:val="24"/>
          <w:highlight w:val="none"/>
        </w:rPr>
      </w:pPr>
      <w:r>
        <w:rPr>
          <w:rFonts w:hint="eastAsia" w:ascii="Times New Roman" w:hAnsi="Times New Roman" w:eastAsia="宋体" w:cs="宋体"/>
          <w:bCs/>
          <w:color w:val="auto"/>
          <w:kern w:val="2"/>
          <w:sz w:val="24"/>
          <w:szCs w:val="24"/>
          <w:highlight w:val="none"/>
        </w:rPr>
        <w:t>自合同签订之日起至2024年11月30日前完成供货、安装、调试、验收合格、交付使用、培训等工作。</w:t>
      </w:r>
    </w:p>
    <w:p>
      <w:pPr>
        <w:pStyle w:val="13"/>
        <w:ind w:firstLine="480"/>
        <w:rPr>
          <w:rFonts w:hint="eastAsia" w:ascii="宋体" w:hAnsi="宋体"/>
          <w:color w:val="auto"/>
          <w:sz w:val="24"/>
          <w:highlight w:val="none"/>
        </w:rPr>
      </w:pPr>
    </w:p>
    <w:p>
      <w:pPr>
        <w:numPr>
          <w:ilvl w:val="0"/>
          <w:numId w:val="1"/>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其他要求</w:t>
      </w:r>
    </w:p>
    <w:p>
      <w:r>
        <w:rPr>
          <w:rFonts w:hint="eastAsia" w:cs="宋体"/>
          <w:bCs/>
          <w:color w:val="auto"/>
          <w:sz w:val="24"/>
          <w:highlight w:val="none"/>
        </w:rPr>
        <w:sym w:font="Wingdings 2" w:char="00EA"/>
      </w:r>
      <w:r>
        <w:rPr>
          <w:rFonts w:ascii="宋体" w:hAnsi="宋体"/>
          <w:color w:val="auto"/>
          <w:sz w:val="24"/>
          <w:highlight w:val="none"/>
        </w:rPr>
        <w:t>供应商须在响应文件中提供加盖供应商公章的承诺函，内容包含：“本项目我公司若获得成交，承诺在北京市政府采购电子卖场（京华云采）平台上，按照成交价格修改京华云采平台上相应货物的售卖价格，以保证完成本项目合同履行。如因我方原因导致采购人无法购买本项目货物，一切损失由我方承担”。承诺函按本采购文件“第六章 响应文件格式”中“附件11-4 承诺函”的格式提供，若供应商响应文件中未按以上要求提供承诺函的，其响应属于无效响应。</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94F81"/>
    <w:multiLevelType w:val="singleLevel"/>
    <w:tmpl w:val="28A94F8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mViMTgyZWJkZDMyZmYzMzlhNGMwYzY4OGUxZjQifQ=="/>
  </w:docVars>
  <w:rsids>
    <w:rsidRoot w:val="3598510A"/>
    <w:rsid w:val="0D4A3733"/>
    <w:rsid w:val="28CC06E2"/>
    <w:rsid w:val="3598510A"/>
    <w:rsid w:val="3965178B"/>
    <w:rsid w:val="435765CC"/>
    <w:rsid w:val="66953FB6"/>
    <w:rsid w:val="7BC4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99"/>
    <w:pPr>
      <w:jc w:val="left"/>
    </w:pPr>
  </w:style>
  <w:style w:type="paragraph" w:styleId="4">
    <w:name w:val="Body Text"/>
    <w:basedOn w:val="1"/>
    <w:autoRedefine/>
    <w:qFormat/>
    <w:uiPriority w:val="1"/>
    <w:pPr>
      <w:tabs>
        <w:tab w:val="left" w:pos="567"/>
      </w:tabs>
      <w:spacing w:before="120" w:line="22" w:lineRule="atLeast"/>
    </w:pPr>
    <w:rPr>
      <w:rFonts w:ascii="宋体" w:hAnsi="宋体"/>
      <w:sz w:val="24"/>
    </w:rPr>
  </w:style>
  <w:style w:type="paragraph" w:styleId="5">
    <w:name w:val="Body Text Indent"/>
    <w:basedOn w:val="1"/>
    <w:autoRedefine/>
    <w:qFormat/>
    <w:uiPriority w:val="0"/>
    <w:pPr>
      <w:spacing w:line="360" w:lineRule="auto"/>
      <w:ind w:firstLine="570"/>
    </w:pPr>
    <w:rPr>
      <w:sz w:val="24"/>
    </w:rPr>
  </w:style>
  <w:style w:type="paragraph" w:styleId="6">
    <w:name w:val="Block Text"/>
    <w:basedOn w:val="1"/>
    <w:next w:val="1"/>
    <w:qFormat/>
    <w:uiPriority w:val="0"/>
    <w:pPr>
      <w:widowControl/>
      <w:ind w:left="480" w:right="-341" w:firstLine="513"/>
    </w:pPr>
    <w:rPr>
      <w:kern w:val="0"/>
      <w:sz w:val="24"/>
      <w:szCs w:val="20"/>
    </w:rPr>
  </w:style>
  <w:style w:type="paragraph" w:styleId="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5"/>
    <w:autoRedefine/>
    <w:qFormat/>
    <w:uiPriority w:val="0"/>
    <w:pPr>
      <w:spacing w:after="120" w:line="480" w:lineRule="exact"/>
      <w:ind w:left="420" w:leftChars="200" w:firstLine="420" w:firstLineChars="200"/>
    </w:pPr>
    <w:rPr>
      <w:szCs w:val="20"/>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1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2023-10-24T02:01:00Z</dcterms:created>
  <dc:creator>高岩</dc:creator>
  <cp:lastModifiedBy>高岩</cp:lastModifiedBy>
  <dcterms:modified xsi:type="dcterms:W3CDTF">2024-10-28T12:53:28Z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A51C63F46DDB44E28E3267B18E012686_11</vt:lpwstr>
  </property>
</Properties>
</file>