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_GB2312" w:hAnsi="仿宋_GB2312" w:eastAsia="仿宋_GB2312" w:cs="仿宋_GB2312"/>
        </w:rPr>
      </w:pPr>
      <w:bookmarkStart w:id="0" w:name="_Toc5560_WPSOffice_Level1"/>
      <w:bookmarkStart w:id="1" w:name="_Toc6448_WPSOffice_Level1"/>
      <w:bookmarkStart w:id="2" w:name="_Toc19531"/>
      <w:bookmarkStart w:id="3" w:name="_Toc3421"/>
      <w:r>
        <w:rPr>
          <w:rFonts w:hint="eastAsia" w:ascii="仿宋_GB2312" w:hAnsi="仿宋_GB2312" w:eastAsia="仿宋_GB2312" w:cs="仿宋_GB2312"/>
        </w:rPr>
        <w:t>第三部分   采购</w:t>
      </w:r>
      <w:bookmarkEnd w:id="0"/>
      <w:bookmarkEnd w:id="1"/>
      <w:r>
        <w:rPr>
          <w:rFonts w:hint="eastAsia" w:ascii="仿宋_GB2312" w:hAnsi="仿宋_GB2312" w:eastAsia="仿宋_GB2312" w:cs="仿宋_GB2312"/>
        </w:rPr>
        <w:t>要求</w:t>
      </w:r>
      <w:bookmarkEnd w:id="2"/>
      <w:bookmarkEnd w:id="3"/>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（如本章内容与遴选文件其它章节内容有冲突，应以本部分内容为准。）</w:t>
      </w:r>
    </w:p>
    <w:p>
      <w:pPr>
        <w:pStyle w:val="5"/>
        <w:ind w:firstLine="240"/>
        <w:rPr>
          <w:rFonts w:ascii="仿宋_GB2312" w:hAnsi="仿宋_GB2312" w:eastAsia="仿宋_GB2312" w:cs="仿宋_GB2312"/>
        </w:rPr>
      </w:pPr>
    </w:p>
    <w:p>
      <w:pPr>
        <w:pStyle w:val="9"/>
        <w:numPr>
          <w:ilvl w:val="0"/>
          <w:numId w:val="1"/>
        </w:numPr>
        <w:spacing w:line="360" w:lineRule="auto"/>
        <w:ind w:firstLineChars="0"/>
        <w:contextualSpacing/>
        <w:rPr>
          <w:rFonts w:ascii="仿宋_GB2312" w:hAnsi="仿宋_GB2312" w:eastAsia="仿宋_GB2312" w:cs="仿宋_GB2312"/>
          <w:b/>
          <w:sz w:val="24"/>
          <w:szCs w:val="24"/>
        </w:rPr>
      </w:pPr>
      <w:r>
        <w:rPr>
          <w:rFonts w:hint="eastAsia" w:ascii="仿宋_GB2312" w:hAnsi="仿宋_GB2312" w:eastAsia="仿宋_GB2312" w:cs="仿宋_GB2312"/>
          <w:b/>
          <w:sz w:val="24"/>
          <w:szCs w:val="24"/>
        </w:rPr>
        <w:t>采购标的</w:t>
      </w:r>
    </w:p>
    <w:p>
      <w:pPr>
        <w:spacing w:line="360" w:lineRule="auto"/>
        <w:contextualSpacing/>
        <w:rPr>
          <w:rFonts w:ascii="仿宋_GB2312" w:hAnsi="仿宋_GB2312" w:eastAsia="仿宋_GB2312" w:cs="仿宋_GB2312"/>
          <w:bCs/>
          <w:sz w:val="24"/>
        </w:rPr>
      </w:pPr>
      <w:r>
        <w:rPr>
          <w:rFonts w:hint="eastAsia" w:ascii="仿宋_GB2312" w:hAnsi="仿宋_GB2312" w:eastAsia="仿宋_GB2312" w:cs="仿宋_GB2312"/>
          <w:bCs/>
          <w:sz w:val="24"/>
        </w:rPr>
        <w:t>1、采购标的</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4045"/>
        <w:gridCol w:w="173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42" w:type="dxa"/>
            <w:vAlign w:val="center"/>
          </w:tcPr>
          <w:p>
            <w:pPr>
              <w:spacing w:line="360" w:lineRule="auto"/>
              <w:contextualSpacing/>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4045" w:type="dxa"/>
            <w:vAlign w:val="center"/>
          </w:tcPr>
          <w:p>
            <w:pPr>
              <w:spacing w:line="360" w:lineRule="auto"/>
              <w:contextualSpacing/>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名称</w:t>
            </w:r>
          </w:p>
        </w:tc>
        <w:tc>
          <w:tcPr>
            <w:tcW w:w="1730" w:type="dxa"/>
            <w:vAlign w:val="center"/>
          </w:tcPr>
          <w:p>
            <w:pPr>
              <w:spacing w:line="360" w:lineRule="auto"/>
              <w:contextualSpacing/>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数量</w:t>
            </w:r>
          </w:p>
        </w:tc>
        <w:tc>
          <w:tcPr>
            <w:tcW w:w="1731" w:type="dxa"/>
            <w:vAlign w:val="center"/>
          </w:tcPr>
          <w:p>
            <w:pPr>
              <w:spacing w:line="360" w:lineRule="auto"/>
              <w:contextualSpacing/>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42" w:type="dxa"/>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4045" w:type="dxa"/>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横式触摸屏</w:t>
            </w:r>
          </w:p>
        </w:tc>
        <w:tc>
          <w:tcPr>
            <w:tcW w:w="1730" w:type="dxa"/>
            <w:vAlign w:val="center"/>
          </w:tcPr>
          <w:p>
            <w:pPr>
              <w:widowControl/>
              <w:spacing w:line="360" w:lineRule="auto"/>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10</w:t>
            </w:r>
          </w:p>
        </w:tc>
        <w:tc>
          <w:tcPr>
            <w:tcW w:w="1731" w:type="dxa"/>
            <w:vAlign w:val="center"/>
          </w:tcPr>
          <w:p>
            <w:pPr>
              <w:widowControl/>
              <w:spacing w:line="360" w:lineRule="auto"/>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42" w:type="dxa"/>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4045" w:type="dxa"/>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立式触摸屏</w:t>
            </w:r>
          </w:p>
        </w:tc>
        <w:tc>
          <w:tcPr>
            <w:tcW w:w="1730" w:type="dxa"/>
            <w:vAlign w:val="center"/>
          </w:tcPr>
          <w:p>
            <w:pPr>
              <w:widowControl/>
              <w:spacing w:line="360" w:lineRule="auto"/>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8</w:t>
            </w:r>
          </w:p>
        </w:tc>
        <w:tc>
          <w:tcPr>
            <w:tcW w:w="1731" w:type="dxa"/>
            <w:vAlign w:val="center"/>
          </w:tcPr>
          <w:p>
            <w:pPr>
              <w:widowControl/>
              <w:spacing w:line="360" w:lineRule="auto"/>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rPr>
              <w:t>台</w:t>
            </w:r>
          </w:p>
        </w:tc>
      </w:tr>
    </w:tbl>
    <w:p>
      <w:pPr>
        <w:spacing w:line="360" w:lineRule="auto"/>
        <w:contextualSpacing/>
        <w:rPr>
          <w:rFonts w:ascii="仿宋_GB2312" w:hAnsi="仿宋_GB2312" w:eastAsia="仿宋_GB2312" w:cs="仿宋_GB2312"/>
          <w:bCs/>
          <w:sz w:val="24"/>
        </w:rPr>
      </w:pPr>
    </w:p>
    <w:p>
      <w:pPr>
        <w:spacing w:line="360" w:lineRule="auto"/>
        <w:contextualSpacing/>
        <w:rPr>
          <w:rFonts w:ascii="仿宋_GB2312" w:hAnsi="仿宋_GB2312" w:eastAsia="仿宋_GB2312" w:cs="仿宋_GB2312"/>
          <w:bCs/>
          <w:sz w:val="24"/>
        </w:rPr>
      </w:pPr>
      <w:r>
        <w:rPr>
          <w:rFonts w:hint="eastAsia" w:ascii="仿宋_GB2312" w:hAnsi="仿宋_GB2312" w:eastAsia="仿宋_GB2312" w:cs="仿宋_GB2312"/>
          <w:bCs/>
          <w:sz w:val="24"/>
        </w:rPr>
        <w:t>2、项目概述</w:t>
      </w:r>
    </w:p>
    <w:p>
      <w:pPr>
        <w:spacing w:line="360" w:lineRule="auto"/>
        <w:ind w:firstLine="480" w:firstLineChars="200"/>
        <w:contextualSpacing/>
        <w:rPr>
          <w:rFonts w:ascii="仿宋_GB2312" w:hAnsi="仿宋_GB2312" w:eastAsia="仿宋_GB2312" w:cs="仿宋_GB2312"/>
          <w:bCs/>
          <w:sz w:val="24"/>
        </w:rPr>
      </w:pPr>
      <w:r>
        <w:rPr>
          <w:rFonts w:hint="eastAsia" w:ascii="仿宋_GB2312" w:hAnsi="仿宋_GB2312" w:eastAsia="仿宋_GB2312" w:cs="仿宋_GB2312"/>
          <w:bCs/>
          <w:sz w:val="24"/>
        </w:rPr>
        <w:t>首都博物馆立足于本馆的基本陈列及智慧导览现状，将建设以“两端三应用”为概括的首都博物馆展厅智慧导览应用体系，其中两端包括移动端和触摸屏端。该导览系统预计将在首都博物馆展厅及公共环境布设观众服务触摸展示设备。本次将采购18台触摸展示设备，满足首都博物馆导览系统对应功能的运行和展示。</w:t>
      </w:r>
    </w:p>
    <w:p>
      <w:pPr>
        <w:pStyle w:val="5"/>
        <w:ind w:firstLine="240"/>
      </w:pPr>
    </w:p>
    <w:p>
      <w:pPr>
        <w:pStyle w:val="9"/>
        <w:numPr>
          <w:ilvl w:val="0"/>
          <w:numId w:val="1"/>
        </w:numPr>
        <w:spacing w:line="360" w:lineRule="auto"/>
        <w:ind w:firstLineChars="0"/>
        <w:contextualSpacing/>
        <w:rPr>
          <w:rFonts w:ascii="仿宋_GB2312" w:hAnsi="仿宋_GB2312" w:eastAsia="仿宋_GB2312" w:cs="仿宋_GB2312"/>
          <w:b/>
          <w:sz w:val="24"/>
          <w:szCs w:val="24"/>
        </w:rPr>
      </w:pPr>
      <w:r>
        <w:rPr>
          <w:rFonts w:hint="eastAsia" w:ascii="仿宋_GB2312" w:hAnsi="仿宋_GB2312" w:eastAsia="仿宋_GB2312" w:cs="仿宋_GB2312"/>
          <w:b/>
          <w:sz w:val="24"/>
          <w:szCs w:val="24"/>
        </w:rPr>
        <w:t>商务要求</w:t>
      </w:r>
    </w:p>
    <w:p>
      <w:pPr>
        <w:spacing w:line="360" w:lineRule="auto"/>
        <w:contextualSpacing/>
        <w:rPr>
          <w:rFonts w:ascii="仿宋_GB2312" w:hAnsi="仿宋_GB2312" w:eastAsia="仿宋_GB2312" w:cs="仿宋_GB2312"/>
          <w:bCs/>
          <w:sz w:val="24"/>
        </w:rPr>
      </w:pPr>
      <w:r>
        <w:rPr>
          <w:rFonts w:hint="eastAsia" w:ascii="仿宋_GB2312" w:hAnsi="仿宋_GB2312" w:eastAsia="仿宋_GB2312" w:cs="仿宋_GB2312"/>
          <w:sz w:val="24"/>
        </w:rPr>
        <w:t>1、交货时间：合同签</w:t>
      </w:r>
      <w:r>
        <w:rPr>
          <w:rFonts w:hint="eastAsia" w:ascii="仿宋_GB2312" w:hAnsi="仿宋_GB2312" w:eastAsia="仿宋_GB2312" w:cs="仿宋_GB2312"/>
          <w:bCs/>
          <w:sz w:val="24"/>
        </w:rPr>
        <w:t>订后10个日历日交货，安装并验收合格。</w:t>
      </w:r>
    </w:p>
    <w:p>
      <w:pPr>
        <w:spacing w:line="360" w:lineRule="auto"/>
        <w:contextualSpacing/>
        <w:rPr>
          <w:rFonts w:ascii="仿宋_GB2312" w:hAnsi="仿宋_GB2312" w:eastAsia="仿宋_GB2312" w:cs="仿宋_GB2312"/>
          <w:bCs/>
          <w:sz w:val="24"/>
        </w:rPr>
      </w:pPr>
      <w:r>
        <w:rPr>
          <w:rFonts w:hint="eastAsia" w:ascii="仿宋_GB2312" w:hAnsi="仿宋_GB2312" w:eastAsia="仿宋_GB2312" w:cs="仿宋_GB2312"/>
          <w:bCs/>
          <w:sz w:val="24"/>
        </w:rPr>
        <w:t>2、交货地点：首都博物馆本馆，北京市西城区复兴门外大街</w:t>
      </w:r>
      <w:r>
        <w:rPr>
          <w:rFonts w:ascii="仿宋_GB2312" w:hAnsi="仿宋_GB2312" w:eastAsia="仿宋_GB2312" w:cs="仿宋_GB2312"/>
          <w:bCs/>
          <w:sz w:val="24"/>
        </w:rPr>
        <w:t>16号首都博物馆</w:t>
      </w:r>
      <w:r>
        <w:rPr>
          <w:rFonts w:hint="eastAsia" w:ascii="仿宋_GB2312" w:hAnsi="仿宋_GB2312" w:eastAsia="仿宋_GB2312" w:cs="仿宋_GB2312"/>
          <w:bCs/>
          <w:sz w:val="24"/>
        </w:rPr>
        <w:t>。</w:t>
      </w:r>
    </w:p>
    <w:p>
      <w:pPr>
        <w:spacing w:line="360" w:lineRule="auto"/>
        <w:contextualSpacing/>
        <w:rPr>
          <w:rFonts w:ascii="仿宋_GB2312" w:hAnsi="仿宋_GB2312" w:eastAsia="仿宋_GB2312" w:cs="仿宋_GB2312"/>
          <w:sz w:val="24"/>
        </w:rPr>
      </w:pPr>
      <w:r>
        <w:rPr>
          <w:rFonts w:hint="eastAsia" w:ascii="仿宋_GB2312" w:hAnsi="仿宋_GB2312" w:eastAsia="仿宋_GB2312" w:cs="仿宋_GB2312"/>
          <w:sz w:val="24"/>
        </w:rPr>
        <w:t>3、付款方式：签订合同后采购人预付70%货款，供应商收到预付款后开始发货，供应商安装调试并验收合格后10天内，采购人支付剩余货款，采购人支付每笔货款前，供应商需提供相应金额的增值税发票，否则，采购人有权不支付相应货款。</w:t>
      </w:r>
    </w:p>
    <w:p>
      <w:pPr>
        <w:spacing w:line="360" w:lineRule="auto"/>
        <w:contextualSpacing/>
        <w:rPr>
          <w:rFonts w:ascii="仿宋_GB2312" w:hAnsi="仿宋_GB2312" w:eastAsia="仿宋_GB2312" w:cs="仿宋_GB2312"/>
          <w:sz w:val="24"/>
        </w:rPr>
      </w:pPr>
      <w:r>
        <w:rPr>
          <w:rFonts w:hint="eastAsia" w:ascii="仿宋_GB2312" w:hAnsi="仿宋_GB2312" w:eastAsia="仿宋_GB2312" w:cs="仿宋_GB2312"/>
          <w:sz w:val="24"/>
        </w:rPr>
        <w:t>4、售后服务</w:t>
      </w:r>
    </w:p>
    <w:p>
      <w:pPr>
        <w:spacing w:line="360" w:lineRule="auto"/>
        <w:contextualSpacing/>
        <w:rPr>
          <w:rFonts w:ascii="仿宋_GB2312" w:hAnsi="仿宋_GB2312" w:eastAsia="仿宋_GB2312" w:cs="仿宋_GB2312"/>
          <w:sz w:val="24"/>
        </w:rPr>
      </w:pPr>
      <w:r>
        <w:rPr>
          <w:rFonts w:hint="eastAsia" w:ascii="仿宋_GB2312" w:hAnsi="仿宋_GB2312" w:eastAsia="仿宋_GB2312" w:cs="仿宋_GB2312"/>
          <w:sz w:val="24"/>
        </w:rPr>
        <w:t>（1）质保期：货物验收合格后3年。</w:t>
      </w:r>
    </w:p>
    <w:p>
      <w:pPr>
        <w:spacing w:line="360" w:lineRule="auto"/>
        <w:contextualSpacing/>
        <w:rPr>
          <w:rFonts w:ascii="仿宋_GB2312" w:hAnsi="仿宋_GB2312" w:eastAsia="仿宋_GB2312" w:cs="仿宋_GB2312"/>
          <w:sz w:val="24"/>
        </w:rPr>
      </w:pPr>
      <w:r>
        <w:rPr>
          <w:rFonts w:hint="eastAsia" w:ascii="仿宋_GB2312" w:hAnsi="仿宋_GB2312" w:eastAsia="仿宋_GB2312" w:cs="仿宋_GB2312"/>
          <w:sz w:val="24"/>
        </w:rPr>
        <w:t>（2）质保要求：供应商提供7*24小时电话支持，设备出现问题后，1个工作日内供应商</w:t>
      </w:r>
      <w:r>
        <w:rPr>
          <w:rFonts w:hint="eastAsia" w:ascii="仿宋_GB2312" w:hAnsi="仿宋_GB2312" w:eastAsia="仿宋_GB2312" w:cs="仿宋_GB2312"/>
          <w:kern w:val="0"/>
          <w:sz w:val="24"/>
          <w:szCs w:val="24"/>
        </w:rPr>
        <w:t>提供现场维修，3个工作日无法修复，供应商应及时提供备品备件，保证采购人正常使用。</w:t>
      </w:r>
    </w:p>
    <w:p>
      <w:pPr>
        <w:spacing w:line="360" w:lineRule="auto"/>
        <w:contextualSpacing/>
        <w:rPr>
          <w:rFonts w:ascii="仿宋_GB2312" w:hAnsi="仿宋_GB2312" w:eastAsia="仿宋_GB2312" w:cs="仿宋_GB2312"/>
          <w:b/>
          <w:i/>
          <w:sz w:val="24"/>
        </w:rPr>
      </w:pPr>
    </w:p>
    <w:p>
      <w:pPr>
        <w:pStyle w:val="9"/>
        <w:numPr>
          <w:ilvl w:val="0"/>
          <w:numId w:val="1"/>
        </w:numPr>
        <w:spacing w:line="360" w:lineRule="auto"/>
        <w:ind w:firstLineChars="0"/>
        <w:contextualSpacing/>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bl>
      <w:tblPr>
        <w:tblStyle w:val="6"/>
        <w:tblW w:w="8948" w:type="dxa"/>
        <w:tblInd w:w="0" w:type="dxa"/>
        <w:shd w:val="clear" w:color="auto" w:fill="FFFFFF"/>
        <w:tblLayout w:type="fixed"/>
        <w:tblCellMar>
          <w:top w:w="0" w:type="dxa"/>
          <w:left w:w="108" w:type="dxa"/>
          <w:bottom w:w="0" w:type="dxa"/>
          <w:right w:w="108" w:type="dxa"/>
        </w:tblCellMar>
      </w:tblPr>
      <w:tblGrid>
        <w:gridCol w:w="535"/>
        <w:gridCol w:w="695"/>
        <w:gridCol w:w="7718"/>
      </w:tblGrid>
      <w:tr>
        <w:tblPrEx>
          <w:tblCellMar>
            <w:top w:w="0" w:type="dxa"/>
            <w:left w:w="108" w:type="dxa"/>
            <w:bottom w:w="0" w:type="dxa"/>
            <w:right w:w="108" w:type="dxa"/>
          </w:tblCellMar>
        </w:tblPrEx>
        <w:trPr>
          <w:trHeight w:val="577" w:hRule="atLeast"/>
        </w:trPr>
        <w:tc>
          <w:tcPr>
            <w:tcW w:w="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7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货物参数</w:t>
            </w:r>
          </w:p>
        </w:tc>
      </w:tr>
      <w:tr>
        <w:tblPrEx>
          <w:shd w:val="clear" w:color="auto" w:fill="FFFFFF"/>
          <w:tblCellMar>
            <w:top w:w="0" w:type="dxa"/>
            <w:left w:w="108" w:type="dxa"/>
            <w:bottom w:w="0" w:type="dxa"/>
            <w:right w:w="108" w:type="dxa"/>
          </w:tblCellMar>
        </w:tblPrEx>
        <w:trPr>
          <w:trHeight w:val="23" w:hRule="atLeast"/>
        </w:trPr>
        <w:tc>
          <w:tcPr>
            <w:tcW w:w="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横式</w:t>
            </w:r>
          </w:p>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触摸屏</w:t>
            </w:r>
          </w:p>
        </w:tc>
        <w:tc>
          <w:tcPr>
            <w:tcW w:w="7718" w:type="dxa"/>
            <w:tcBorders>
              <w:top w:val="single" w:color="000000" w:sz="4" w:space="0"/>
              <w:left w:val="single" w:color="000000" w:sz="4" w:space="0"/>
              <w:bottom w:val="single" w:color="000000" w:sz="4" w:space="0"/>
              <w:right w:val="single" w:color="000000" w:sz="4" w:space="0"/>
            </w:tcBorders>
            <w:shd w:val="clear" w:color="auto" w:fill="FFFFFF"/>
            <w:noWrap/>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1.显示尺寸:≥55英寸；</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2.显示分辨数:不低于3840x2160；</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3.显示比例:16:9；</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4.触摸技术:电容触摸、触摸响应时间≤10ms；</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5.系统不低于以下要求：</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①CPU Intel Core i7</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②主板 超薄工控主板</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③内存 16GB DDR3</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④硬盘 120G SSD硬盘</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⑤标配网口 RJ45接口 1Gbps</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⑥独立显卡（具备3D处理能力，满足导览程序运行）；</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⑦电源：标配220V电源</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⑧操作系统：windows10</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⑨主机箱体：壁挂式全钢型箱体、循环散热设计和多媒体音效系统</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6.外观要求：根据首博要求定制并配首博 LOGO；</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触摸屏管理软件系统可支持远程唤醒、开机、重启、关机、静音、校时等功能，可远程设置播放端，具有定时开关机等功能，具有显示屏显示屏设备亮度调节管理功能，配备专用显示屏设备屏稳测试及管理软件；</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8.内置扬声器。</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9.具备语音交互功能。</w:t>
            </w:r>
          </w:p>
          <w:p>
            <w:pPr>
              <w:widowControl/>
              <w:spacing w:line="360" w:lineRule="auto"/>
              <w:jc w:val="left"/>
              <w:textAlignment w:val="center"/>
              <w:rPr>
                <w:rFonts w:ascii="仿宋_GB2312" w:hAnsi="仿宋_GB2312" w:cs="仿宋_GB2312"/>
                <w:sz w:val="24"/>
                <w:szCs w:val="24"/>
              </w:rPr>
            </w:pPr>
            <w:r>
              <w:rPr>
                <w:rFonts w:hint="eastAsia" w:ascii="仿宋_GB2312" w:hAnsi="仿宋_GB2312" w:eastAsia="仿宋_GB2312" w:cs="仿宋_GB2312"/>
                <w:color w:val="000000"/>
                <w:sz w:val="24"/>
                <w:szCs w:val="24"/>
              </w:rPr>
              <w:t>10.支持不少于10点同时书写绘画，可对图片进行放大、缩小翻转、滑屏等操作</w:t>
            </w:r>
            <w:r>
              <w:rPr>
                <w:rFonts w:hint="eastAsia"/>
              </w:rPr>
              <w:t>。</w:t>
            </w:r>
          </w:p>
        </w:tc>
      </w:tr>
      <w:tr>
        <w:tblPrEx>
          <w:tblCellMar>
            <w:top w:w="0" w:type="dxa"/>
            <w:left w:w="108" w:type="dxa"/>
            <w:bottom w:w="0" w:type="dxa"/>
            <w:right w:w="108" w:type="dxa"/>
          </w:tblCellMar>
        </w:tblPrEx>
        <w:trPr>
          <w:trHeight w:val="23" w:hRule="atLeast"/>
        </w:trPr>
        <w:tc>
          <w:tcPr>
            <w:tcW w:w="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立式</w:t>
            </w:r>
          </w:p>
          <w:p>
            <w:pPr>
              <w:widowControl/>
              <w:spacing w:line="360" w:lineRule="auto"/>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触摸屏</w:t>
            </w:r>
          </w:p>
        </w:tc>
        <w:tc>
          <w:tcPr>
            <w:tcW w:w="7718" w:type="dxa"/>
            <w:tcBorders>
              <w:top w:val="single" w:color="000000" w:sz="4" w:space="0"/>
              <w:left w:val="single" w:color="000000" w:sz="4" w:space="0"/>
              <w:bottom w:val="single" w:color="000000" w:sz="4" w:space="0"/>
              <w:right w:val="single" w:color="000000" w:sz="4" w:space="0"/>
            </w:tcBorders>
            <w:shd w:val="clear" w:color="auto" w:fill="FFFFFF"/>
            <w:noWrap/>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1.显示尺寸:≥55英寸；</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2.显示分辨数:不低于3840x2160；</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3.显示比例:16:9；</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4.触摸技术:电容触摸、触摸响应时间≤10ms；</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5.系统不低于以下要求：</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①CPU Intel Core i7</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②主板 超薄工控主板</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③内存 16GB DDR3</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④硬盘 120G SSD硬盘</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⑤标配网口 RJ45接口 1Gbps</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⑥独立显卡（具备3D处理能力，满足导览程序数字人运行）；</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⑦电源：标配220V电源</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⑧操作系统：windows10</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⑨主机箱体：壁挂式全钢型箱体、循环散热设计和多媒体音效系统</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6.外观要求：根据首博要求定制并配首博 LOGO；</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触摸屏管理软件系统可支持远程唤醒、开机、重启、关机、静音、校时等功能，可远程设置播放端，具有定时开关机等功能，具有显示屏显示屏设备亮度调节管理功能，配备专用显示屏设备屏稳测试及管理软件；</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8.内置扬声器。</w:t>
            </w:r>
          </w:p>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9.具备语音交互功能。</w:t>
            </w:r>
          </w:p>
          <w:p>
            <w:pPr>
              <w:widowControl/>
              <w:spacing w:line="360" w:lineRule="auto"/>
              <w:jc w:val="left"/>
              <w:textAlignment w:val="center"/>
              <w:rPr>
                <w:rFonts w:ascii="仿宋_GB2312" w:hAnsi="仿宋_GB2312" w:cs="仿宋_GB2312"/>
                <w:sz w:val="24"/>
                <w:szCs w:val="24"/>
              </w:rPr>
            </w:pPr>
            <w:r>
              <w:rPr>
                <w:rFonts w:hint="eastAsia" w:ascii="仿宋_GB2312" w:hAnsi="仿宋_GB2312" w:eastAsia="仿宋_GB2312" w:cs="仿宋_GB2312"/>
                <w:color w:val="000000"/>
                <w:sz w:val="24"/>
                <w:szCs w:val="24"/>
              </w:rPr>
              <w:t>10.支持不少于10点同时书写绘画，可对图片进行放大、缩小翻转、滑屏等操作</w:t>
            </w:r>
            <w:r>
              <w:rPr>
                <w:rFonts w:hint="eastAsia"/>
              </w:rPr>
              <w:t>。</w:t>
            </w:r>
          </w:p>
        </w:tc>
      </w:tr>
    </w:tbl>
    <w:p>
      <w:pPr>
        <w:pStyle w:val="9"/>
        <w:adjustRightInd w:val="0"/>
        <w:spacing w:line="360" w:lineRule="auto"/>
        <w:ind w:firstLine="0" w:firstLineChars="0"/>
        <w:contextualSpacing/>
        <w:jc w:val="left"/>
        <w:rPr>
          <w:rFonts w:ascii="仿宋_GB2312" w:hAnsi="仿宋_GB2312" w:eastAsia="仿宋_GB2312" w:cs="仿宋_GB2312"/>
          <w:sz w:val="24"/>
          <w:szCs w:val="24"/>
        </w:rPr>
      </w:pPr>
    </w:p>
    <w:p>
      <w:pPr>
        <w:pStyle w:val="9"/>
        <w:adjustRightInd w:val="0"/>
        <w:spacing w:line="360" w:lineRule="auto"/>
        <w:ind w:firstLine="0" w:firstLineChars="0"/>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四、供应商要求</w:t>
      </w:r>
    </w:p>
    <w:p>
      <w:pPr>
        <w:pStyle w:val="4"/>
        <w:spacing w:line="360" w:lineRule="auto"/>
        <w:rPr>
          <w:rFonts w:ascii="仿宋_GB2312" w:hAnsi="仿宋_GB2312" w:eastAsia="仿宋_GB2312" w:cs="仿宋_GB2312"/>
          <w:bCs/>
        </w:rPr>
      </w:pPr>
      <w:r>
        <w:rPr>
          <w:rFonts w:hint="eastAsia" w:ascii="仿宋_GB2312" w:hAnsi="仿宋_GB2312" w:eastAsia="仿宋_GB2312" w:cs="仿宋_GB2312"/>
          <w:bCs/>
        </w:rPr>
        <w:t>1、供应商具有丰富的类似项目经验。针对本项目设立专门的服务团队，负责供货安装及后期售后服务。团队人员经验丰富，人员职责清晰分明。</w:t>
      </w:r>
    </w:p>
    <w:p>
      <w:pPr>
        <w:pStyle w:val="4"/>
        <w:spacing w:line="360" w:lineRule="auto"/>
        <w:rPr>
          <w:rFonts w:ascii="仿宋_GB2312" w:hAnsi="仿宋_GB2312" w:eastAsia="仿宋_GB2312" w:cs="仿宋_GB2312"/>
          <w:bCs/>
        </w:rPr>
      </w:pPr>
      <w:r>
        <w:rPr>
          <w:rFonts w:hint="eastAsia" w:ascii="仿宋_GB2312" w:hAnsi="仿宋_GB2312" w:eastAsia="仿宋_GB2312" w:cs="仿宋_GB2312"/>
          <w:bCs/>
        </w:rPr>
        <w:t>2、供应商的项目整体实施进度计划详细，时间节点明确可控，供货流程各环节考虑全面详细，送货过程时间节点均量化可控，重点难点考虑全面，充分结合项目特征，针对性较强，客观合理，能够完全满足采购人要求。</w:t>
      </w:r>
    </w:p>
    <w:p>
      <w:pPr>
        <w:pStyle w:val="4"/>
        <w:spacing w:line="360" w:lineRule="auto"/>
        <w:rPr>
          <w:rFonts w:ascii="仿宋_GB2312" w:hAnsi="仿宋_GB2312" w:eastAsia="仿宋_GB2312" w:cs="仿宋_GB2312"/>
          <w:bCs/>
        </w:rPr>
      </w:pPr>
      <w:r>
        <w:rPr>
          <w:rFonts w:hint="eastAsia" w:ascii="仿宋_GB2312" w:hAnsi="仿宋_GB2312" w:eastAsia="仿宋_GB2312" w:cs="仿宋_GB2312"/>
          <w:bCs/>
        </w:rPr>
        <w:t>3、售后服务方案及质量保证方案完整、客观合理、可行，响应时间、反应速度及时。</w:t>
      </w:r>
    </w:p>
    <w:p>
      <w:pPr>
        <w:pStyle w:val="4"/>
        <w:spacing w:line="360" w:lineRule="auto"/>
        <w:rPr>
          <w:rFonts w:ascii="仿宋_GB2312" w:hAnsi="仿宋_GB2312" w:eastAsia="仿宋_GB2312" w:cs="仿宋_GB2312"/>
          <w:bCs/>
        </w:rPr>
      </w:pPr>
      <w:r>
        <w:rPr>
          <w:rFonts w:hint="eastAsia" w:ascii="仿宋_GB2312" w:hAnsi="仿宋_GB2312" w:eastAsia="仿宋_GB2312" w:cs="仿宋_GB2312"/>
          <w:bCs/>
        </w:rPr>
        <w:t>4、本项目报价包含送货，安装，调试等一切费用，同时需要供应商对设备软件系统具备一定开发调试能力，配合进行首博导览系统中与本次供货设备相关的部署调试，供应商除报价外不能向采购人额外收取其他费用。</w:t>
      </w:r>
    </w:p>
    <w:p>
      <w:pPr>
        <w:spacing w:line="360" w:lineRule="auto"/>
        <w:rPr>
          <w:rFonts w:ascii="仿宋_GB2312" w:hAnsi="仿宋_GB2312" w:eastAsia="仿宋_GB2312" w:cs="仿宋_GB2312"/>
          <w:b/>
          <w:bCs/>
          <w:sz w:val="24"/>
          <w:szCs w:val="24"/>
        </w:rPr>
      </w:pPr>
      <w:r>
        <w:rPr>
          <w:rFonts w:hint="eastAsia" w:ascii="宋体" w:hAnsi="宋体" w:cs="宋体"/>
          <w:b/>
          <w:bCs/>
          <w:shd w:val="clear" w:color="auto" w:fill="FFFFFF"/>
          <w:lang w:val="en-US" w:eastAsia="zh-CN"/>
        </w:rPr>
        <w:t>*</w:t>
      </w:r>
      <w:r>
        <w:rPr>
          <w:rFonts w:hint="eastAsia" w:ascii="宋体" w:hAnsi="宋体" w:cs="宋体"/>
          <w:b/>
          <w:bCs/>
          <w:shd w:val="clear" w:color="auto" w:fill="FFFFFF"/>
        </w:rPr>
        <w:t>5</w:t>
      </w:r>
      <w:r>
        <w:rPr>
          <w:rFonts w:hint="eastAsia" w:ascii="仿宋_GB2312" w:hAnsi="仿宋_GB2312" w:eastAsia="仿宋_GB2312" w:cs="仿宋_GB2312"/>
          <w:b/>
          <w:bCs/>
          <w:sz w:val="24"/>
          <w:szCs w:val="24"/>
        </w:rPr>
        <w:t>、供应商须在响应文件中提供加盖供应商公章的承诺函，内容包含：</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本项目我公司若获得成交，承诺在北京市政府采购电子卖场（京华云采）平台上，按照成交价格修改京华云采平台上相应货物的售卖价格，以保证完成本项目合同履行。如因我方原因导致采购人无法购买本项目货物，一切损失由我方承担</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承诺函按本采购文件“第六部分  附件－－响应文件的格式”中“附件11-3承诺函”的格式提供，</w:t>
      </w:r>
      <w:r>
        <w:rPr>
          <w:rFonts w:hint="eastAsia" w:ascii="仿宋_GB2312" w:hAnsi="仿宋_GB2312" w:eastAsia="仿宋_GB2312" w:cs="仿宋_GB2312"/>
          <w:b/>
          <w:bCs/>
          <w:sz w:val="24"/>
          <w:szCs w:val="24"/>
        </w:rPr>
        <w:t>若供应商响应文件中未按以上要求提供承诺函的，其响应属于</w:t>
      </w:r>
      <w:r>
        <w:rPr>
          <w:rFonts w:hint="eastAsia" w:ascii="仿宋_GB2312" w:hAnsi="仿宋_GB2312" w:eastAsia="仿宋_GB2312" w:cs="仿宋_GB2312"/>
          <w:b/>
          <w:bCs/>
          <w:sz w:val="24"/>
          <w:szCs w:val="24"/>
          <w:u w:val="none"/>
        </w:rPr>
        <w:t>无</w:t>
      </w:r>
      <w:r>
        <w:rPr>
          <w:rFonts w:hint="eastAsia" w:ascii="仿宋_GB2312" w:hAnsi="仿宋_GB2312" w:eastAsia="仿宋_GB2312" w:cs="仿宋_GB2312"/>
          <w:b/>
          <w:bCs/>
          <w:sz w:val="24"/>
          <w:szCs w:val="24"/>
          <w:u w:val="single"/>
        </w:rPr>
        <w:t>效响应</w:t>
      </w:r>
      <w:r>
        <w:rPr>
          <w:rFonts w:hint="eastAsia" w:ascii="仿宋_GB2312" w:hAnsi="仿宋_GB2312" w:eastAsia="仿宋_GB2312" w:cs="仿宋_GB2312"/>
          <w:b/>
          <w:bCs/>
          <w:sz w:val="24"/>
          <w:szCs w:val="24"/>
        </w:rPr>
        <w:t>。</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TAwZTk0OTUxYmMxNzQ3MWMwZjI2YjNlNGIzMjIifQ=="/>
  </w:docVars>
  <w:rsids>
    <w:rsidRoot w:val="00000000"/>
    <w:rsid w:val="4F2A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4">
    <w:name w:val="Body Text"/>
    <w:basedOn w:val="1"/>
    <w:next w:val="1"/>
    <w:qFormat/>
    <w:uiPriority w:val="0"/>
    <w:rPr>
      <w:sz w:val="24"/>
    </w:rPr>
  </w:style>
  <w:style w:type="paragraph" w:styleId="5">
    <w:name w:val="Body Text First Indent"/>
    <w:basedOn w:val="4"/>
    <w:unhideWhenUsed/>
    <w:qFormat/>
    <w:uiPriority w:val="99"/>
    <w:pPr>
      <w:ind w:firstLine="420" w:firstLineChars="100"/>
    </w:p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2023-09-19T11:00:54Z</dcterms:created>
  <dc:creator>wangwenjia</dc:creator>
  <cp:lastModifiedBy>W</cp:lastModifiedBy>
  <dcterms:modified xsi:type="dcterms:W3CDTF">2023-09-19T11:01:07Z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8C96C68FC2F44528B05C90B6D3343D45_12</vt:lpwstr>
  </property>
</Properties>
</file>