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kern w:val="44"/>
          <w:sz w:val="44"/>
          <w:szCs w:val="44"/>
        </w:rPr>
      </w:pPr>
      <w:r>
        <w:rPr>
          <w:rFonts w:hint="eastAsia"/>
          <w:b/>
          <w:bCs/>
          <w:kern w:val="44"/>
          <w:sz w:val="44"/>
          <w:szCs w:val="44"/>
        </w:rPr>
        <w:t>服务要求</w:t>
      </w:r>
    </w:p>
    <w:p>
      <w:pPr>
        <w:jc w:val="center"/>
        <w:rPr>
          <w:rFonts w:hint="eastAsia" w:ascii="宋体" w:hAnsi="宋体" w:cs="宋体"/>
        </w:rPr>
      </w:pPr>
      <w:r>
        <w:rPr>
          <w:rFonts w:hint="eastAsia" w:ascii="宋体" w:hAnsi="宋体" w:cs="宋体"/>
        </w:rPr>
        <w:t>（如本章内容与遴选文件其它章节内容有冲突，应以本部分内容为准。）</w:t>
      </w:r>
    </w:p>
    <w:p>
      <w:pPr>
        <w:pStyle w:val="2"/>
        <w:spacing w:before="0"/>
        <w:rPr>
          <w:rFonts w:hint="eastAsia" w:ascii="宋体" w:hAnsi="宋体" w:cs="宋体"/>
        </w:rPr>
      </w:pPr>
    </w:p>
    <w:p>
      <w:pPr>
        <w:numPr>
          <w:ilvl w:val="0"/>
          <w:numId w:val="1"/>
        </w:numPr>
        <w:rPr>
          <w:rFonts w:hint="eastAsia" w:ascii="宋体" w:hAnsi="宋体" w:cs="宋体"/>
          <w:b/>
          <w:bCs/>
        </w:rPr>
      </w:pPr>
      <w:r>
        <w:rPr>
          <w:rFonts w:hint="eastAsia" w:ascii="宋体" w:hAnsi="宋体" w:cs="宋体"/>
          <w:b/>
          <w:bCs/>
        </w:rPr>
        <w:t>项目概述</w:t>
      </w:r>
    </w:p>
    <w:p>
      <w:pPr>
        <w:rPr>
          <w:rFonts w:hint="eastAsia" w:ascii="宋体" w:hAnsi="宋体" w:cs="宋体"/>
        </w:rPr>
      </w:pPr>
    </w:p>
    <w:p>
      <w:pPr>
        <w:ind w:firstLine="480" w:firstLineChars="200"/>
        <w:rPr>
          <w:rFonts w:hint="eastAsia" w:ascii="宋体" w:hAnsi="宋体" w:cs="宋体"/>
        </w:rPr>
      </w:pPr>
      <w:r>
        <w:rPr>
          <w:rFonts w:hint="eastAsia" w:ascii="宋体" w:hAnsi="宋体" w:cs="宋体"/>
        </w:rPr>
        <w:t>首都博物馆新馆自2005年开放以来，为了提升服务水平，拓展服务空间，同步开展了信息化建设，包括各类基础设施、首博业务系统、首博网站以及相关的平台服务。首都博物馆现有业务应用系统10余个、硬件设备约150台套、第三方支撑软件10余套，馆内网络终端数量近500个。</w:t>
      </w:r>
    </w:p>
    <w:p>
      <w:pPr>
        <w:pStyle w:val="2"/>
        <w:spacing w:before="0"/>
        <w:ind w:firstLine="480" w:firstLineChars="200"/>
        <w:rPr>
          <w:rFonts w:hint="eastAsia" w:ascii="宋体" w:hAnsi="宋体" w:cs="宋体"/>
        </w:rPr>
      </w:pPr>
      <w:r>
        <w:rPr>
          <w:rFonts w:hint="eastAsia" w:ascii="宋体" w:hAnsi="宋体" w:cs="宋体"/>
        </w:rPr>
        <w:t>本项目依据《中华人民共和国网络安全法》、《信息安全技术网络安全等级保护基本要求》（GB/T 22239-2019）及国家信息安全相关工作规范及技术标准，对首都博物馆信息系统实施安全合规性检查、漏洞扫描及渗透测试等相关工作，通过与标准进行比较，建立完整的安全防护体系和安全防护策略，提高信息系统安全保障能力。</w:t>
      </w:r>
    </w:p>
    <w:p>
      <w:pPr>
        <w:rPr>
          <w:rFonts w:hint="eastAsia" w:ascii="宋体" w:hAnsi="宋体" w:cs="宋体"/>
          <w:color w:val="FF0000"/>
        </w:rPr>
      </w:pPr>
      <w:r>
        <w:rPr>
          <w:rFonts w:hint="eastAsia" w:ascii="宋体" w:hAnsi="宋体" w:cs="宋体"/>
        </w:rPr>
        <w:t>注：本项目中所述首都博物馆一词均指首都博物馆及其分支机构，乙方应对首都博物馆及其分支机构提供同等项目服务。首都博物馆分支机构包括北京文博交流馆（智化寺）、老舍纪念馆、北京四合院博物馆、白塔寺、北京大运河博物馆。</w:t>
      </w:r>
    </w:p>
    <w:p>
      <w:pPr>
        <w:numPr>
          <w:ilvl w:val="0"/>
          <w:numId w:val="1"/>
        </w:numPr>
        <w:rPr>
          <w:rFonts w:hint="eastAsia" w:ascii="宋体" w:hAnsi="宋体" w:cs="宋体"/>
          <w:b/>
          <w:bCs/>
        </w:rPr>
      </w:pPr>
      <w:r>
        <w:rPr>
          <w:rFonts w:hint="eastAsia" w:ascii="宋体" w:hAnsi="宋体" w:cs="宋体"/>
          <w:b/>
          <w:bCs/>
        </w:rPr>
        <w:t>工作内容</w:t>
      </w:r>
    </w:p>
    <w:p>
      <w:pPr>
        <w:widowControl/>
        <w:ind w:firstLine="480" w:firstLineChars="200"/>
        <w:jc w:val="left"/>
        <w:rPr>
          <w:rFonts w:hint="eastAsia" w:ascii="宋体" w:hAnsi="宋体" w:cs="宋体"/>
        </w:rPr>
      </w:pPr>
    </w:p>
    <w:p>
      <w:pPr>
        <w:widowControl/>
        <w:ind w:firstLine="480" w:firstLineChars="200"/>
        <w:jc w:val="left"/>
        <w:rPr>
          <w:rFonts w:hint="eastAsia" w:ascii="宋体" w:hAnsi="宋体" w:cs="宋体"/>
        </w:rPr>
      </w:pPr>
      <w:r>
        <w:rPr>
          <w:rFonts w:hint="eastAsia" w:ascii="宋体" w:hAnsi="宋体" w:cs="宋体"/>
        </w:rPr>
        <w:t>依据信息安全技术网络安全等级保护二级、三级等相关规范、规定，供应商需有效地挖掘出信息化工作中潜在的安全风险，防范信息安全事件发生，为下一步工作的开展提供合理准确的数据信息。开展安全合规性检查及渗透测试服务项目需参照国内最新的网络安全相关标准以及国际先进的技术服务规范，结合采购人的实际情况，完善具有首都博物馆特色的技术服务管理体系。为逐步达到以上目的，本项目具体工作内容如下：</w:t>
      </w:r>
    </w:p>
    <w:p>
      <w:pPr>
        <w:widowControl/>
        <w:ind w:firstLine="480" w:firstLineChars="200"/>
        <w:jc w:val="left"/>
        <w:rPr>
          <w:rFonts w:hint="eastAsia" w:ascii="宋体" w:hAnsi="宋体" w:cs="宋体"/>
        </w:rPr>
      </w:pPr>
      <w:r>
        <w:rPr>
          <w:rFonts w:hint="eastAsia" w:ascii="宋体" w:hAnsi="宋体" w:cs="宋体"/>
        </w:rPr>
        <w:t>（一）主机漏洞扫描, 供应商对采购人全网主机系统实施安全漏洞扫描，安全漏洞扫描内容包括（且不仅限于）：对端口开放情况、OS漏洞、数据库漏洞、中间件漏洞、网络及安全设备漏洞等进行扫描分析。要求供应商使用采购方认可的2种（含）以上品牌的漏洞扫描工具，对扫描数据进行比对，向采购人提供真实准确的研判数据，最终形成《首都博物馆漏洞扫描分析报告》。供应商在服务期内根据系统初扫描、复扫描需求，需向采购人提供至少1次的全部业务系统主机漏洞扫描服务，并针对测试后有升级、变更等状况的系统进行复扫服务，在执行主机漏洞扫描工作中应保证主机安全稳定运行，提供发生安全风险时相应的解决方案和应急处置措施；</w:t>
      </w:r>
    </w:p>
    <w:p>
      <w:pPr>
        <w:widowControl/>
        <w:ind w:firstLine="480" w:firstLineChars="200"/>
        <w:jc w:val="left"/>
        <w:rPr>
          <w:rFonts w:hint="eastAsia" w:ascii="宋体" w:hAnsi="宋体" w:cs="宋体"/>
        </w:rPr>
      </w:pPr>
      <w:r>
        <w:rPr>
          <w:rFonts w:hint="eastAsia" w:ascii="宋体" w:hAnsi="宋体" w:cs="宋体"/>
        </w:rPr>
        <w:t>（二）安全合规性检查，对首都博物馆信息系统开展安全合规性检查工作，同时结合首都博物馆信息系统现状，与等保风险评估等标准相对照完善首都博物馆信息系统安全基线。以安全基线为基础排查信息系统中存在的安全风险及问题，从技术视角与管理视角两方面实施全方位的合规性检查，将检查出的安全风险同步更新到安全隐患库。供应商需向采购人提供《首都博物馆安全合规性检查报告》，同时需提供隐患处置建议及解决方案，为后继采取安全控制措施提供有效的决策依据，协助首都博物馆团队进行后续整改；</w:t>
      </w:r>
    </w:p>
    <w:p>
      <w:pPr>
        <w:widowControl/>
        <w:ind w:firstLine="480" w:firstLineChars="200"/>
        <w:jc w:val="left"/>
        <w:rPr>
          <w:rFonts w:hint="eastAsia" w:ascii="宋体" w:hAnsi="宋体" w:cs="宋体"/>
        </w:rPr>
      </w:pPr>
      <w:r>
        <w:rPr>
          <w:rFonts w:hint="eastAsia" w:ascii="宋体" w:hAnsi="宋体" w:cs="宋体"/>
        </w:rPr>
        <w:t>（三）渗透测试服务，供应商在服务期内根据系统初测、复测需求，需向采购人提供至少1次的全部业务系统渗透测试服务，并针对测试后有升级、变更等状况的系统进行复测服务，全面挖掘首都博物馆应用系统中存在的潜在风险，发现应用系统的脆弱环节，提供完善的安全解决方案，并指导采购人进行整改，提供渗透测试方案以及风险规避措施，保障在测试期间不发生业务中断、数据丢失、系统瘫痪等事件。供应商提供《首都博物馆应用系统渗透测试报告》；</w:t>
      </w:r>
    </w:p>
    <w:p>
      <w:pPr>
        <w:widowControl/>
        <w:ind w:firstLine="480" w:firstLineChars="200"/>
        <w:jc w:val="left"/>
        <w:rPr>
          <w:rFonts w:hint="eastAsia" w:ascii="宋体" w:hAnsi="宋体" w:cs="宋体"/>
        </w:rPr>
      </w:pPr>
      <w:r>
        <w:rPr>
          <w:rFonts w:hint="eastAsia" w:ascii="宋体" w:hAnsi="宋体" w:cs="宋体"/>
        </w:rPr>
        <w:t>（四）完善信息安全应急管理体系，在现有信息安全管理制度上协助首都博物馆完善已建立的信息安全事件应急管理流程、完善应急响应预案等，结合当前预警与应急标准修订现有信息安全应急预案。供应商需向采购人提供至少1次安全事件应急演练，保障首都博物馆在处理信息安全应急事件时能够及时有效采取防护措施；</w:t>
      </w:r>
    </w:p>
    <w:p>
      <w:pPr>
        <w:widowControl/>
        <w:ind w:firstLine="480" w:firstLineChars="200"/>
        <w:jc w:val="left"/>
        <w:rPr>
          <w:rFonts w:hint="eastAsia" w:ascii="宋体" w:hAnsi="宋体" w:cs="宋体"/>
        </w:rPr>
      </w:pPr>
      <w:r>
        <w:rPr>
          <w:rFonts w:hint="eastAsia" w:ascii="宋体" w:hAnsi="宋体" w:cs="宋体"/>
        </w:rPr>
        <w:t>（五）安全隐患库完善，供应商根据首都博物馆现有安全隐患库完善隐患排查管理制度，更新改进安全隐患排险机制。结合合规性检查、渗透测试结果以及日常发生的安全事故，完善采购人安全隐患库，加强采购人信息系统安全风险预警能力，并对已知隐患给出处置建议。</w:t>
      </w:r>
    </w:p>
    <w:p>
      <w:pPr>
        <w:widowControl/>
        <w:ind w:firstLine="480" w:firstLineChars="200"/>
        <w:jc w:val="left"/>
        <w:rPr>
          <w:rFonts w:hint="eastAsia" w:ascii="宋体" w:hAnsi="宋体" w:cs="宋体"/>
        </w:rPr>
      </w:pPr>
      <w:r>
        <w:rPr>
          <w:rFonts w:hint="eastAsia" w:ascii="宋体" w:hAnsi="宋体" w:cs="宋体"/>
        </w:rPr>
        <w:t>（六）软硬件及信息系统安全巡检服务，根据首都博物馆信息系统整体安全状态，服务周期内每2个月完成1次信息安全巡检服务工作（项目期内共6次），以加强首都博物馆信息系统安全防控能力，并提交季度、年度安全巡检报告。</w:t>
      </w:r>
    </w:p>
    <w:p>
      <w:pPr>
        <w:widowControl/>
        <w:ind w:firstLine="480" w:firstLineChars="200"/>
        <w:jc w:val="left"/>
        <w:rPr>
          <w:rFonts w:hint="eastAsia" w:ascii="宋体" w:hAnsi="宋体" w:cs="宋体"/>
        </w:rPr>
      </w:pPr>
      <w:r>
        <w:rPr>
          <w:rFonts w:hint="eastAsia" w:ascii="宋体" w:hAnsi="宋体" w:cs="宋体"/>
        </w:rPr>
        <w:t>（七）供应商为采购人指定的信息化系统提供24小时不间断异常状态监测服务，如发现异常行为，应及时报告采购人并提出相应参考解决方案。</w:t>
      </w:r>
    </w:p>
    <w:p>
      <w:pPr>
        <w:pStyle w:val="2"/>
        <w:spacing w:before="0"/>
        <w:rPr>
          <w:rFonts w:hint="eastAsia" w:ascii="宋体" w:hAnsi="宋体" w:cs="宋体"/>
        </w:rPr>
      </w:pPr>
    </w:p>
    <w:p>
      <w:pPr>
        <w:widowControl/>
        <w:jc w:val="left"/>
        <w:rPr>
          <w:rFonts w:hint="eastAsia" w:ascii="宋体" w:hAnsi="宋体" w:cs="宋体"/>
          <w:b/>
          <w:bCs/>
        </w:rPr>
      </w:pPr>
      <w:r>
        <w:rPr>
          <w:rFonts w:hint="eastAsia" w:ascii="宋体" w:hAnsi="宋体" w:cs="宋体"/>
          <w:b/>
          <w:bCs/>
        </w:rPr>
        <w:t>*三 服务周期（合同履行期限）：从合同签订之日起一年内完成项目所有工作，具体时间以合同约定为准。</w:t>
      </w:r>
    </w:p>
    <w:p>
      <w:pPr>
        <w:pStyle w:val="2"/>
        <w:spacing w:before="0"/>
        <w:rPr>
          <w:rFonts w:hint="eastAsia" w:ascii="宋体" w:hAnsi="宋体" w:cs="宋体"/>
          <w:b/>
          <w:bCs/>
        </w:rPr>
      </w:pPr>
    </w:p>
    <w:p>
      <w:pPr>
        <w:rPr>
          <w:rFonts w:hint="eastAsia" w:ascii="宋体" w:hAnsi="宋体" w:cs="宋体"/>
          <w:b/>
          <w:bCs/>
        </w:rPr>
      </w:pPr>
      <w:r>
        <w:rPr>
          <w:rFonts w:hint="eastAsia" w:ascii="宋体" w:hAnsi="宋体" w:cs="宋体"/>
          <w:b/>
          <w:bCs/>
        </w:rPr>
        <w:t>四 服务要求</w:t>
      </w:r>
    </w:p>
    <w:p>
      <w:pPr>
        <w:pStyle w:val="2"/>
        <w:spacing w:before="0"/>
        <w:rPr>
          <w:rFonts w:hint="eastAsia" w:ascii="宋体" w:hAnsi="宋体" w:cs="宋体"/>
        </w:rPr>
      </w:pPr>
    </w:p>
    <w:p>
      <w:pPr>
        <w:ind w:firstLine="480" w:firstLineChars="200"/>
        <w:rPr>
          <w:rFonts w:hint="eastAsia" w:ascii="宋体" w:hAnsi="宋体" w:cs="宋体"/>
          <w:bCs/>
        </w:rPr>
      </w:pPr>
      <w:r>
        <w:rPr>
          <w:rFonts w:hint="eastAsia" w:ascii="宋体" w:hAnsi="宋体" w:cs="宋体"/>
          <w:bCs/>
        </w:rPr>
        <w:t>（一）供应商要求：</w:t>
      </w:r>
    </w:p>
    <w:p>
      <w:pPr>
        <w:widowControl/>
        <w:ind w:firstLine="480" w:firstLineChars="200"/>
        <w:jc w:val="left"/>
        <w:rPr>
          <w:rFonts w:hint="eastAsia" w:ascii="宋体" w:hAnsi="宋体" w:cs="宋体"/>
        </w:rPr>
      </w:pPr>
      <w:r>
        <w:rPr>
          <w:rFonts w:hint="eastAsia" w:ascii="宋体" w:hAnsi="宋体" w:cs="宋体"/>
        </w:rPr>
        <w:t>（1）供应商应具有多年丰富的信息安全服务相关工作经历及成功案例经验，具备执行本项目相关的资质认证及执行类似项目的专业能力；</w:t>
      </w:r>
    </w:p>
    <w:p>
      <w:pPr>
        <w:pStyle w:val="2"/>
        <w:spacing w:before="0"/>
        <w:ind w:firstLine="482" w:firstLineChars="200"/>
        <w:rPr>
          <w:rFonts w:hint="eastAsia" w:ascii="宋体" w:hAnsi="宋体" w:cs="宋体"/>
        </w:rPr>
      </w:pPr>
      <w:r>
        <w:rPr>
          <w:rFonts w:hint="eastAsia" w:ascii="宋体" w:hAnsi="宋体" w:cs="宋体"/>
          <w:b/>
          <w:bCs/>
        </w:rPr>
        <w:t>*</w:t>
      </w:r>
      <w:r>
        <w:rPr>
          <w:rFonts w:hint="eastAsia" w:ascii="宋体" w:hAnsi="宋体" w:cs="宋体"/>
        </w:rPr>
        <w:t>（2）为保证项目实施、2小时应急服务可靠性，供应商应在北京有固定办公场所，并为本项目组建专门的服务团队，有不少于6名经验丰富的技术人员；</w:t>
      </w:r>
    </w:p>
    <w:p>
      <w:pPr>
        <w:widowControl/>
        <w:ind w:firstLine="480" w:firstLineChars="200"/>
        <w:jc w:val="left"/>
        <w:rPr>
          <w:rFonts w:hint="eastAsia" w:ascii="宋体" w:hAnsi="宋体" w:cs="宋体"/>
        </w:rPr>
      </w:pPr>
      <w:r>
        <w:rPr>
          <w:rFonts w:hint="eastAsia" w:ascii="宋体" w:hAnsi="宋体" w:cs="宋体"/>
        </w:rPr>
        <w:t>（3）供应商应建立完善的包括应急服务质量保障等方面的售后服务制度和良好的用户服务记录；</w:t>
      </w:r>
    </w:p>
    <w:p>
      <w:pPr>
        <w:widowControl/>
        <w:tabs>
          <w:tab w:val="left" w:pos="0"/>
        </w:tabs>
        <w:ind w:firstLine="480" w:firstLineChars="200"/>
        <w:jc w:val="left"/>
        <w:rPr>
          <w:rFonts w:hint="eastAsia" w:ascii="宋体" w:hAnsi="宋体" w:cs="宋体"/>
        </w:rPr>
      </w:pPr>
      <w:r>
        <w:rPr>
          <w:rFonts w:hint="eastAsia" w:ascii="宋体" w:hAnsi="宋体" w:cs="宋体"/>
        </w:rPr>
        <w:t>结合本项目采购需求，供应商应具有中国网络安全审查技术与认证中心颁发的信息安全风险评估服务资质、中国网络安全审查技术与认证中心颁发的信息系统安全运维服务资质；具有ISO27001信息安全管理体系认证证书、ISO20000信息技术服务管理体系认证证书、ISO9001质量管理体系认证证书。审核依据为供应商在响应文件中提供在有效期内的证书复印件并加盖供应商公章。</w:t>
      </w:r>
    </w:p>
    <w:p>
      <w:pPr>
        <w:ind w:firstLine="480" w:firstLineChars="200"/>
        <w:rPr>
          <w:rFonts w:hint="eastAsia" w:ascii="宋体" w:hAnsi="宋体" w:cs="宋体"/>
          <w:bCs/>
        </w:rPr>
      </w:pPr>
      <w:bookmarkStart w:id="0" w:name="_Toc5958119"/>
      <w:bookmarkStart w:id="1" w:name="_Toc479083994"/>
      <w:bookmarkStart w:id="2" w:name="_Toc295458530"/>
      <w:bookmarkStart w:id="3" w:name="_Toc2976281"/>
      <w:bookmarkStart w:id="4" w:name="_Toc416592952"/>
      <w:bookmarkStart w:id="5" w:name="_Toc447742126"/>
      <w:bookmarkStart w:id="6" w:name="_Toc415642869"/>
      <w:r>
        <w:rPr>
          <w:rFonts w:hint="eastAsia" w:ascii="宋体" w:hAnsi="宋体" w:cs="宋体"/>
          <w:bCs/>
        </w:rPr>
        <w:t>（二）硬件要求</w:t>
      </w:r>
      <w:bookmarkEnd w:id="0"/>
      <w:bookmarkEnd w:id="1"/>
      <w:bookmarkEnd w:id="2"/>
      <w:bookmarkEnd w:id="3"/>
      <w:bookmarkEnd w:id="4"/>
      <w:bookmarkEnd w:id="5"/>
      <w:bookmarkEnd w:id="6"/>
    </w:p>
    <w:p>
      <w:pPr>
        <w:widowControl/>
        <w:ind w:firstLine="480" w:firstLineChars="200"/>
        <w:jc w:val="left"/>
        <w:rPr>
          <w:rFonts w:hint="eastAsia" w:ascii="宋体" w:hAnsi="宋体" w:cs="宋体"/>
        </w:rPr>
      </w:pPr>
      <w:r>
        <w:rPr>
          <w:rFonts w:hint="eastAsia" w:ascii="宋体" w:hAnsi="宋体" w:cs="宋体"/>
        </w:rPr>
        <w:t>（1）供应商应配备安全服务所需的基本工具和检测仪器；</w:t>
      </w:r>
    </w:p>
    <w:p>
      <w:pPr>
        <w:widowControl/>
        <w:ind w:firstLine="480" w:firstLineChars="200"/>
        <w:jc w:val="left"/>
        <w:rPr>
          <w:rFonts w:hint="eastAsia" w:ascii="宋体" w:hAnsi="宋体" w:cs="宋体"/>
        </w:rPr>
      </w:pPr>
      <w:r>
        <w:rPr>
          <w:rFonts w:hint="eastAsia" w:ascii="宋体" w:hAnsi="宋体" w:cs="宋体"/>
        </w:rPr>
        <w:t>（2）供应商应设定维护专用的联系电话，并应配备传真、电脑等基础办公设备保证供应商能够按照要求提供服务；</w:t>
      </w:r>
    </w:p>
    <w:p>
      <w:pPr>
        <w:widowControl/>
        <w:ind w:firstLine="482" w:firstLineChars="200"/>
        <w:jc w:val="left"/>
        <w:rPr>
          <w:rFonts w:hint="eastAsia" w:ascii="宋体" w:hAnsi="宋体" w:cs="宋体"/>
          <w:color w:val="auto"/>
        </w:rPr>
      </w:pPr>
      <w:r>
        <w:rPr>
          <w:rFonts w:hint="eastAsia" w:ascii="宋体" w:hAnsi="宋体" w:cs="宋体"/>
          <w:b/>
        </w:rPr>
        <w:t xml:space="preserve">* </w:t>
      </w:r>
      <w:r>
        <w:rPr>
          <w:rFonts w:hint="eastAsia" w:ascii="宋体" w:hAnsi="宋体" w:cs="宋体"/>
        </w:rPr>
        <w:t>（3）供应商应提供采购人认可的漏洞扫描与渗透测试设备，要求使用2种（含）以上的漏洞扫描工具；审核依据为：供应商需提供漏洞扫描工具品牌承诺函。供应商须按本采购文件</w:t>
      </w:r>
      <w:r>
        <w:rPr>
          <w:rFonts w:hint="eastAsia" w:ascii="宋体" w:hAnsi="宋体" w:cs="宋体"/>
          <w:color w:val="auto"/>
        </w:rPr>
        <w:t>“第七部分附件－－响应文件的格式”中“*附件11漏洞扫描工具品牌承诺函（格式）”的内容及格式要求在响应文件正本中提供漏洞扫描工具品牌承诺函原件并加盖供应商公章。</w:t>
      </w:r>
    </w:p>
    <w:p>
      <w:pPr>
        <w:widowControl/>
        <w:ind w:firstLine="480" w:firstLineChars="200"/>
        <w:jc w:val="left"/>
        <w:rPr>
          <w:rFonts w:hint="eastAsia" w:ascii="宋体" w:hAnsi="宋体" w:cs="宋体"/>
          <w:color w:val="auto"/>
        </w:rPr>
      </w:pPr>
      <w:r>
        <w:rPr>
          <w:rFonts w:hint="eastAsia" w:ascii="宋体" w:hAnsi="宋体" w:cs="宋体"/>
          <w:color w:val="auto"/>
        </w:rPr>
        <w:t>（4）其它为完成项目服务所需设备设施，由供应商提供。</w:t>
      </w:r>
    </w:p>
    <w:p>
      <w:pPr>
        <w:ind w:firstLine="480" w:firstLineChars="200"/>
        <w:rPr>
          <w:rFonts w:hint="eastAsia" w:ascii="宋体" w:hAnsi="宋体" w:cs="宋体"/>
          <w:bCs/>
          <w:color w:val="auto"/>
        </w:rPr>
      </w:pPr>
      <w:bookmarkStart w:id="7" w:name="_Toc447742127"/>
      <w:bookmarkStart w:id="8" w:name="_Toc415642870"/>
      <w:bookmarkStart w:id="9" w:name="_Toc416592953"/>
      <w:bookmarkStart w:id="10" w:name="_Toc2976282"/>
      <w:bookmarkStart w:id="11" w:name="_Toc5958120"/>
      <w:bookmarkStart w:id="12" w:name="_Toc479083995"/>
      <w:bookmarkStart w:id="13" w:name="_Toc295458531"/>
      <w:r>
        <w:rPr>
          <w:rFonts w:hint="eastAsia" w:ascii="宋体" w:hAnsi="宋体" w:cs="宋体"/>
          <w:bCs/>
          <w:color w:val="auto"/>
        </w:rPr>
        <w:t>（三）服务团队要求</w:t>
      </w:r>
      <w:bookmarkEnd w:id="7"/>
      <w:bookmarkEnd w:id="8"/>
      <w:bookmarkEnd w:id="9"/>
      <w:bookmarkEnd w:id="10"/>
      <w:bookmarkEnd w:id="11"/>
      <w:bookmarkEnd w:id="12"/>
      <w:bookmarkEnd w:id="13"/>
    </w:p>
    <w:p>
      <w:pPr>
        <w:widowControl/>
        <w:ind w:firstLine="480" w:firstLineChars="200"/>
        <w:jc w:val="left"/>
        <w:rPr>
          <w:rFonts w:hint="eastAsia" w:ascii="宋体" w:hAnsi="宋体" w:cs="宋体"/>
          <w:color w:val="auto"/>
        </w:rPr>
      </w:pPr>
      <w:r>
        <w:rPr>
          <w:rFonts w:hint="eastAsia" w:ascii="宋体" w:hAnsi="宋体" w:cs="宋体"/>
          <w:color w:val="auto"/>
        </w:rPr>
        <w:t>供应商应为本项目设立专门的现场服务团队并保证团队的人员稳定，设置1名项目负责人，具有5年以上相关工作经验</w:t>
      </w:r>
      <w:r>
        <w:rPr>
          <w:rFonts w:hint="eastAsia" w:ascii="宋体" w:hAnsi="宋体" w:cs="宋体"/>
          <w:color w:val="auto"/>
          <w:szCs w:val="22"/>
        </w:rPr>
        <w:t>，</w:t>
      </w:r>
      <w:r>
        <w:rPr>
          <w:rFonts w:hint="eastAsia" w:ascii="宋体" w:hAnsi="宋体" w:cs="宋体"/>
          <w:color w:val="auto"/>
        </w:rPr>
        <w:t>有能力带领团队完成本项目工作；服务团队配置不少于6人（含项目负责人），满足本项目的服务需求，岗位职责明晰有针对性。服务人员应具备信息系统应急处置经验，熟悉各类系统和设备的操作，有能力处理出现的各类问题，若出现人员调整应书面通知采购人；供应商在响应文件中应详细列出本项目的现场服务团队人员情况，并对人员分工做出说明。</w:t>
      </w:r>
    </w:p>
    <w:p>
      <w:pPr>
        <w:widowControl/>
        <w:ind w:firstLine="480" w:firstLineChars="200"/>
        <w:jc w:val="left"/>
        <w:rPr>
          <w:rFonts w:hint="eastAsia" w:ascii="宋体" w:hAnsi="宋体" w:cs="宋体"/>
          <w:color w:val="auto"/>
        </w:rPr>
      </w:pPr>
      <w:r>
        <w:rPr>
          <w:rFonts w:hint="eastAsia" w:ascii="宋体" w:hAnsi="宋体" w:cs="宋体"/>
          <w:color w:val="auto"/>
        </w:rPr>
        <w:t>结合本项目采购需求，项目负责人应</w:t>
      </w:r>
      <w:r>
        <w:rPr>
          <w:rFonts w:hint="eastAsia" w:ascii="宋体" w:hAnsi="宋体" w:cs="宋体"/>
          <w:color w:val="auto"/>
          <w:szCs w:val="22"/>
        </w:rPr>
        <w:t>具有信息系统项目管理师证书（或PMP证书）、注册信息安全专业人员（CISP）证书</w:t>
      </w:r>
      <w:r>
        <w:rPr>
          <w:rFonts w:hint="eastAsia" w:ascii="宋体" w:hAnsi="宋体" w:cs="宋体"/>
          <w:color w:val="auto"/>
        </w:rPr>
        <w:t>；服务团队成员（不含项目负责人）应具备</w:t>
      </w:r>
      <w:r>
        <w:rPr>
          <w:rFonts w:hint="eastAsia" w:ascii="宋体" w:hAnsi="宋体" w:cs="宋体"/>
          <w:color w:val="auto"/>
          <w:szCs w:val="22"/>
        </w:rPr>
        <w:t>注册信息安全专业人员（CISP）证书、</w:t>
      </w:r>
      <w:r>
        <w:rPr>
          <w:rFonts w:hint="eastAsia" w:ascii="宋体" w:hAnsi="宋体" w:cs="宋体"/>
          <w:color w:val="auto"/>
        </w:rPr>
        <w:t>应急服务CISAW（专业级）及以上证书、</w:t>
      </w:r>
      <w:r>
        <w:rPr>
          <w:rFonts w:hint="eastAsia" w:ascii="宋体" w:hAnsi="宋体" w:cs="宋体"/>
          <w:color w:val="auto"/>
          <w:szCs w:val="22"/>
        </w:rPr>
        <w:t>风险管理CISAW（专业级）及以上证书等。</w:t>
      </w:r>
    </w:p>
    <w:p>
      <w:pPr>
        <w:ind w:firstLine="480" w:firstLineChars="200"/>
        <w:rPr>
          <w:rFonts w:hint="eastAsia" w:ascii="宋体" w:hAnsi="宋体" w:cs="宋体"/>
          <w:bCs/>
          <w:color w:val="auto"/>
        </w:rPr>
      </w:pPr>
      <w:bookmarkStart w:id="14" w:name="_Toc415642871"/>
      <w:bookmarkStart w:id="15" w:name="_Toc416592954"/>
      <w:bookmarkStart w:id="16" w:name="_Toc447742128"/>
      <w:bookmarkStart w:id="17" w:name="_Toc5958121"/>
      <w:bookmarkStart w:id="18" w:name="_Toc479083996"/>
      <w:bookmarkStart w:id="19" w:name="_Toc174521164"/>
      <w:bookmarkStart w:id="20" w:name="_Toc2976283"/>
      <w:bookmarkStart w:id="21" w:name="_Toc295458532"/>
      <w:r>
        <w:rPr>
          <w:rFonts w:hint="eastAsia" w:ascii="宋体" w:hAnsi="宋体" w:cs="宋体"/>
          <w:bCs/>
          <w:color w:val="auto"/>
        </w:rPr>
        <w:t>（四）保密要求</w:t>
      </w:r>
      <w:bookmarkEnd w:id="14"/>
      <w:bookmarkEnd w:id="15"/>
      <w:bookmarkEnd w:id="16"/>
      <w:bookmarkEnd w:id="17"/>
      <w:bookmarkEnd w:id="18"/>
      <w:bookmarkEnd w:id="19"/>
      <w:bookmarkEnd w:id="20"/>
      <w:bookmarkEnd w:id="21"/>
    </w:p>
    <w:p>
      <w:pPr>
        <w:widowControl/>
        <w:ind w:firstLine="480" w:firstLineChars="200"/>
        <w:jc w:val="left"/>
        <w:rPr>
          <w:rFonts w:hint="eastAsia" w:ascii="宋体" w:hAnsi="宋体" w:cs="宋体"/>
          <w:color w:val="auto"/>
        </w:rPr>
      </w:pPr>
      <w:r>
        <w:rPr>
          <w:rFonts w:hint="eastAsia" w:ascii="宋体" w:hAnsi="宋体" w:cs="宋体"/>
          <w:color w:val="auto"/>
        </w:rPr>
        <w:t>供应商对安全服务的过程和结果应严格保密，供应商应与员工签订保密协议，未经采购人授权不得泄露给任何单位和个人，不得利用此数据进行任何侵害采购人权益的行为，否则采购人有权追究供应商的责任。</w:t>
      </w:r>
    </w:p>
    <w:p>
      <w:pPr>
        <w:ind w:firstLine="482" w:firstLineChars="200"/>
        <w:rPr>
          <w:rFonts w:hint="eastAsia" w:ascii="宋体" w:hAnsi="宋体" w:cs="宋体"/>
          <w:b/>
          <w:color w:val="auto"/>
        </w:rPr>
      </w:pPr>
      <w:r>
        <w:rPr>
          <w:rFonts w:hint="eastAsia" w:ascii="宋体" w:hAnsi="宋体" w:cs="宋体"/>
          <w:b/>
          <w:color w:val="auto"/>
        </w:rPr>
        <w:t>*（五）服务响应时间</w:t>
      </w:r>
    </w:p>
    <w:p>
      <w:pPr>
        <w:widowControl/>
        <w:ind w:firstLine="482" w:firstLineChars="200"/>
        <w:jc w:val="left"/>
        <w:rPr>
          <w:rFonts w:hint="eastAsia" w:ascii="宋体" w:hAnsi="宋体" w:cs="宋体"/>
          <w:b/>
          <w:bCs/>
          <w:color w:val="auto"/>
        </w:rPr>
      </w:pPr>
      <w:r>
        <w:rPr>
          <w:rFonts w:hint="eastAsia" w:ascii="宋体" w:hAnsi="宋体" w:cs="宋体"/>
          <w:b/>
          <w:bCs/>
          <w:color w:val="auto"/>
        </w:rPr>
        <w:t>服务过程中，供应商应在收到采购人的故障处理或维护通知后，如采购人提出需求，供应商应派人2小时内到达故障现场进行处理（7×24小时，涵盖法定节假日）。供应商须按本采购文件“第七部分附件－－响应文件的格式”中“*附件10服务承诺函”的内容及格式要求在响应文件正本中提供服务承诺函原件并加盖供应商公章。</w:t>
      </w:r>
    </w:p>
    <w:p>
      <w:pPr>
        <w:widowControl/>
        <w:ind w:firstLine="482" w:firstLineChars="200"/>
        <w:jc w:val="left"/>
        <w:rPr>
          <w:rFonts w:hint="eastAsia" w:ascii="宋体" w:hAnsi="宋体" w:cs="宋体"/>
          <w:b/>
          <w:bCs/>
          <w:color w:val="auto"/>
        </w:rPr>
      </w:pPr>
      <w:r>
        <w:rPr>
          <w:rFonts w:hint="eastAsia" w:ascii="宋体" w:hAnsi="宋体" w:cs="宋体"/>
          <w:b/>
          <w:color w:val="auto"/>
        </w:rPr>
        <w:t>*（六）</w:t>
      </w:r>
      <w:r>
        <w:rPr>
          <w:rFonts w:hint="eastAsia" w:ascii="宋体" w:hAnsi="宋体" w:cs="宋体"/>
          <w:b/>
          <w:bCs/>
          <w:color w:val="auto"/>
        </w:rPr>
        <w:t>其它</w:t>
      </w:r>
    </w:p>
    <w:p>
      <w:pPr>
        <w:ind w:firstLine="482" w:firstLineChars="200"/>
        <w:rPr>
          <w:rFonts w:hint="eastAsia" w:ascii="宋体" w:hAnsi="宋体" w:cs="宋体"/>
          <w:b/>
          <w:bCs/>
          <w:color w:val="auto"/>
        </w:rPr>
      </w:pPr>
      <w:r>
        <w:rPr>
          <w:rFonts w:hint="eastAsia" w:ascii="宋体" w:hAnsi="宋体" w:cs="宋体"/>
          <w:b/>
          <w:bCs/>
          <w:color w:val="auto"/>
        </w:rPr>
        <w:t>项目实施期间，供应商应合理调整到场服务人员配置，如遇特殊情况，原服务技术人员不能到场，供应商应从后备驻场队伍中抽调同等或以上资历的工程师，经采购方同意后，提供到场服务。服务团队人员构成，特别是项目责任人和项目主要实施人员要求相对固定，供应商应当通过对人员要求“点对点”通勤等合理措施，保证项目实施人员符合防疫要求，不因非不可抗力等原因造成驻场人员缺失或频繁更换。</w:t>
      </w:r>
    </w:p>
    <w:p>
      <w:pPr>
        <w:snapToGrid w:val="0"/>
        <w:ind w:firstLine="482" w:firstLineChars="200"/>
        <w:jc w:val="left"/>
        <w:rPr>
          <w:rFonts w:hint="eastAsia" w:ascii="宋体" w:hAnsi="宋体" w:cs="宋体"/>
          <w:color w:val="auto"/>
        </w:rPr>
      </w:pPr>
      <w:r>
        <w:rPr>
          <w:rFonts w:hint="eastAsia" w:ascii="宋体" w:hAnsi="宋体" w:cs="宋体"/>
          <w:b/>
          <w:bCs/>
          <w:color w:val="auto"/>
        </w:rPr>
        <w:t>供应商须按本采购文件“第七部分附件－－响应文件的格式”中“*附件10服务承诺函”的内容及格式要求在响应文件正本中提供服务承诺函原件并加盖供应商公章。</w:t>
      </w:r>
    </w:p>
    <w:p>
      <w:pPr>
        <w:ind w:firstLine="482" w:firstLineChars="200"/>
        <w:rPr>
          <w:rFonts w:hint="eastAsia" w:ascii="宋体" w:hAnsi="宋体" w:cs="宋体"/>
          <w:b/>
          <w:bCs/>
          <w:color w:val="auto"/>
        </w:rPr>
      </w:pPr>
    </w:p>
    <w:p>
      <w:pPr>
        <w:widowControl/>
        <w:jc w:val="left"/>
        <w:rPr>
          <w:rFonts w:hint="eastAsia" w:ascii="宋体" w:hAnsi="宋体" w:cs="宋体"/>
          <w:b/>
          <w:bCs/>
          <w:color w:val="auto"/>
        </w:rPr>
      </w:pPr>
      <w:r>
        <w:rPr>
          <w:rFonts w:hint="eastAsia" w:ascii="宋体" w:hAnsi="宋体" w:cs="宋体"/>
          <w:b/>
          <w:bCs/>
          <w:color w:val="auto"/>
        </w:rPr>
        <w:t xml:space="preserve">五、项目交付内容 </w:t>
      </w:r>
    </w:p>
    <w:p>
      <w:pPr>
        <w:pStyle w:val="2"/>
        <w:spacing w:before="0"/>
        <w:ind w:firstLine="480" w:firstLineChars="200"/>
        <w:rPr>
          <w:rFonts w:hint="eastAsia" w:ascii="宋体" w:hAnsi="宋体" w:cs="宋体"/>
          <w:color w:val="auto"/>
        </w:rPr>
      </w:pPr>
    </w:p>
    <w:p>
      <w:pPr>
        <w:pStyle w:val="2"/>
        <w:spacing w:before="0"/>
        <w:ind w:firstLine="480" w:firstLineChars="200"/>
        <w:rPr>
          <w:rFonts w:hint="eastAsia" w:ascii="宋体" w:hAnsi="宋体" w:cs="宋体"/>
        </w:rPr>
      </w:pPr>
      <w:r>
        <w:rPr>
          <w:rFonts w:hint="eastAsia" w:ascii="宋体" w:hAnsi="宋体" w:cs="宋体"/>
          <w:color w:val="auto"/>
        </w:rPr>
        <w:t xml:space="preserve">     项目交付内容应符合信息安全技术网络</w:t>
      </w:r>
      <w:r>
        <w:rPr>
          <w:rFonts w:hint="eastAsia" w:ascii="宋体" w:hAnsi="宋体" w:cs="宋体"/>
        </w:rPr>
        <w:t>安全等级保护二级、三级需求等相关规范、标准。</w:t>
      </w:r>
    </w:p>
    <w:p>
      <w:pPr>
        <w:widowControl/>
        <w:numPr>
          <w:ilvl w:val="0"/>
          <w:numId w:val="2"/>
        </w:numPr>
        <w:ind w:firstLine="480" w:firstLineChars="200"/>
        <w:jc w:val="left"/>
        <w:rPr>
          <w:rFonts w:hint="eastAsia" w:ascii="宋体" w:hAnsi="宋体" w:cs="宋体"/>
        </w:rPr>
      </w:pPr>
      <w:r>
        <w:rPr>
          <w:rFonts w:hint="eastAsia" w:ascii="宋体" w:hAnsi="宋体" w:cs="宋体"/>
        </w:rPr>
        <w:t>对首都博物馆网络安全开展漏洞扫描后，形成《首都博物馆漏洞扫描分析报告》。</w:t>
      </w:r>
    </w:p>
    <w:p>
      <w:pPr>
        <w:widowControl/>
        <w:numPr>
          <w:ilvl w:val="0"/>
          <w:numId w:val="2"/>
        </w:numPr>
        <w:ind w:firstLine="480" w:firstLineChars="200"/>
        <w:jc w:val="left"/>
        <w:rPr>
          <w:rFonts w:hint="eastAsia" w:ascii="宋体" w:hAnsi="宋体" w:cs="宋体"/>
        </w:rPr>
      </w:pPr>
      <w:r>
        <w:rPr>
          <w:rFonts w:hint="eastAsia" w:ascii="宋体" w:hAnsi="宋体" w:cs="宋体"/>
        </w:rPr>
        <w:t>参照等保二级、三级、风险评估等标准，建立首都博物馆信息系统安全基线基础。完成安全合规性检查后，形成《首都博物馆安全合规性检查报告》。</w:t>
      </w:r>
    </w:p>
    <w:p>
      <w:pPr>
        <w:widowControl/>
        <w:numPr>
          <w:ilvl w:val="0"/>
          <w:numId w:val="2"/>
        </w:numPr>
        <w:ind w:firstLine="480" w:firstLineChars="200"/>
        <w:jc w:val="left"/>
        <w:rPr>
          <w:rFonts w:hint="eastAsia" w:ascii="宋体" w:hAnsi="宋体" w:cs="宋体"/>
        </w:rPr>
      </w:pPr>
      <w:r>
        <w:rPr>
          <w:rFonts w:hint="eastAsia" w:ascii="宋体" w:hAnsi="宋体" w:cs="宋体"/>
        </w:rPr>
        <w:t>根据渗透测试结果，形成《首都博物馆应用系统渗透测试报告》。</w:t>
      </w:r>
    </w:p>
    <w:p>
      <w:pPr>
        <w:widowControl/>
        <w:numPr>
          <w:ilvl w:val="0"/>
          <w:numId w:val="2"/>
        </w:numPr>
        <w:ind w:firstLine="480" w:firstLineChars="200"/>
        <w:jc w:val="left"/>
        <w:rPr>
          <w:rFonts w:hint="eastAsia" w:ascii="宋体" w:hAnsi="宋体" w:cs="宋体"/>
        </w:rPr>
      </w:pPr>
      <w:r>
        <w:rPr>
          <w:rFonts w:hint="eastAsia" w:ascii="宋体" w:hAnsi="宋体" w:cs="宋体"/>
        </w:rPr>
        <w:t>协助首都博物馆建立应急事件处置预案、完成应急演练，并形成一套完整的应急处理预案文档，完善《首都博物馆信息安全应急管理体系制度》，形成《信息安全应急处置预案》、《应急演练报告》等相关文档。</w:t>
      </w:r>
    </w:p>
    <w:p>
      <w:pPr>
        <w:widowControl/>
        <w:numPr>
          <w:ilvl w:val="0"/>
          <w:numId w:val="2"/>
        </w:numPr>
        <w:ind w:firstLine="480" w:firstLineChars="200"/>
        <w:jc w:val="left"/>
        <w:rPr>
          <w:rFonts w:hint="eastAsia" w:ascii="宋体" w:hAnsi="宋体" w:cs="宋体"/>
        </w:rPr>
      </w:pPr>
      <w:r>
        <w:rPr>
          <w:rFonts w:hint="eastAsia" w:ascii="宋体" w:hAnsi="宋体" w:cs="宋体"/>
        </w:rPr>
        <w:t>完善安全隐患库，形成首都博物馆信息系统的《首都博物馆信息系统安全隐患库建设报告》。</w:t>
      </w:r>
    </w:p>
    <w:p>
      <w:pPr>
        <w:widowControl/>
        <w:numPr>
          <w:ilvl w:val="0"/>
          <w:numId w:val="2"/>
        </w:numPr>
        <w:ind w:firstLine="480" w:firstLineChars="200"/>
        <w:jc w:val="left"/>
        <w:rPr>
          <w:rFonts w:hint="eastAsia" w:ascii="宋体" w:hAnsi="宋体" w:cs="宋体"/>
        </w:rPr>
      </w:pPr>
      <w:r>
        <w:rPr>
          <w:rFonts w:hint="eastAsia" w:ascii="宋体" w:hAnsi="宋体" w:cs="宋体"/>
        </w:rPr>
        <w:t>每2个月完成1次执行一次安全巡检（项目期内共6次），并编制《首都博物馆信息系统安全巡检报告》，年度出具安全巡检总体报告。</w:t>
      </w:r>
    </w:p>
    <w:p>
      <w:pPr>
        <w:widowControl/>
        <w:numPr>
          <w:ilvl w:val="0"/>
          <w:numId w:val="2"/>
        </w:numPr>
        <w:ind w:firstLine="480" w:firstLineChars="200"/>
        <w:jc w:val="left"/>
        <w:rPr>
          <w:rFonts w:hint="eastAsia" w:ascii="宋体" w:hAnsi="宋体" w:cs="宋体"/>
        </w:rPr>
      </w:pPr>
      <w:r>
        <w:rPr>
          <w:rFonts w:hint="eastAsia" w:ascii="宋体" w:hAnsi="宋体" w:cs="宋体"/>
        </w:rPr>
        <w:t>供应商为采购方网站等外网服务系统提供24小时不间断异常状态监测服务。</w:t>
      </w:r>
    </w:p>
    <w:p>
      <w:pPr>
        <w:pStyle w:val="2"/>
        <w:spacing w:before="0"/>
        <w:ind w:firstLine="480" w:firstLineChars="200"/>
        <w:rPr>
          <w:rFonts w:hint="eastAsia" w:ascii="宋体" w:hAnsi="宋体" w:cs="宋体"/>
        </w:rPr>
      </w:pPr>
    </w:p>
    <w:p>
      <w:pPr>
        <w:widowControl/>
        <w:jc w:val="left"/>
        <w:rPr>
          <w:rFonts w:hint="eastAsia" w:ascii="宋体" w:hAnsi="宋体" w:cs="宋体"/>
          <w:b/>
          <w:bCs/>
        </w:rPr>
      </w:pPr>
      <w:r>
        <w:rPr>
          <w:rFonts w:hint="eastAsia" w:ascii="宋体" w:hAnsi="宋体" w:cs="宋体"/>
          <w:b/>
          <w:bCs/>
        </w:rPr>
        <w:t>六、验收与交付方式：</w:t>
      </w:r>
    </w:p>
    <w:p>
      <w:pPr>
        <w:pStyle w:val="2"/>
        <w:spacing w:before="0"/>
        <w:ind w:firstLine="480" w:firstLineChars="200"/>
        <w:rPr>
          <w:rFonts w:hint="eastAsia" w:ascii="宋体" w:hAnsi="宋体" w:cs="宋体"/>
        </w:rPr>
      </w:pPr>
    </w:p>
    <w:p>
      <w:pPr>
        <w:widowControl/>
        <w:ind w:firstLine="480" w:firstLineChars="200"/>
        <w:jc w:val="left"/>
        <w:rPr>
          <w:rFonts w:hint="eastAsia" w:ascii="宋体" w:hAnsi="宋体" w:cs="宋体"/>
        </w:rPr>
      </w:pPr>
      <w:r>
        <w:rPr>
          <w:rFonts w:hint="eastAsia" w:ascii="宋体" w:hAnsi="宋体" w:cs="宋体"/>
        </w:rPr>
        <w:t>（一）验收方式：</w:t>
      </w:r>
    </w:p>
    <w:p>
      <w:pPr>
        <w:ind w:firstLine="480" w:firstLineChars="200"/>
        <w:rPr>
          <w:rFonts w:hint="eastAsia" w:ascii="宋体" w:hAnsi="宋体" w:cs="宋体"/>
        </w:rPr>
      </w:pPr>
      <w:r>
        <w:rPr>
          <w:rFonts w:hint="eastAsia" w:ascii="宋体" w:hAnsi="宋体" w:cs="宋体"/>
        </w:rPr>
        <w:t>1.项目验收：乙方应于</w:t>
      </w:r>
      <w:r>
        <w:rPr>
          <w:rFonts w:hint="eastAsia" w:ascii="宋体" w:hAnsi="宋体" w:cs="宋体"/>
          <w:u w:val="single"/>
        </w:rPr>
        <w:t>项目服务期截止日的</w:t>
      </w:r>
      <w:r>
        <w:rPr>
          <w:rFonts w:hint="eastAsia" w:ascii="宋体" w:hAnsi="宋体" w:cs="宋体"/>
        </w:rPr>
        <w:t>30自然日前日内向甲方提交《</w:t>
      </w:r>
      <w:bookmarkStart w:id="22" w:name="OLE_LINK1"/>
      <w:r>
        <w:rPr>
          <w:rFonts w:hint="eastAsia" w:ascii="宋体" w:hAnsi="宋体" w:cs="宋体"/>
        </w:rPr>
        <w:t>项目验收申请</w:t>
      </w:r>
      <w:bookmarkEnd w:id="22"/>
      <w:r>
        <w:rPr>
          <w:rFonts w:hint="eastAsia" w:ascii="宋体" w:hAnsi="宋体" w:cs="宋体"/>
        </w:rPr>
        <w:t>》主要项目报告，包括《首都博物馆漏洞扫描分析报告》、《首都博物馆安全合规性检查报告》、《首都博物馆应用系统渗透测试报告》、《首都博物馆信息安全应急管理体系制度》、《首都博物馆信息系统安全隐患库建设报告》、《首都博物馆信息系统安全巡检报告》（含双月报、年报）等相关材料，得到甲方认可后，由甲方组织开展项目验收。检查标准以本合同附件以及相关说明文档为标准，具体时间和地点由甲乙双方商议安排，甲方根据检查结果出具书面意见。</w:t>
      </w:r>
    </w:p>
    <w:p>
      <w:pPr>
        <w:snapToGrid w:val="0"/>
        <w:ind w:firstLine="480" w:firstLineChars="200"/>
        <w:rPr>
          <w:rFonts w:hint="eastAsia" w:ascii="宋体" w:hAnsi="宋体" w:cs="宋体"/>
        </w:rPr>
      </w:pPr>
      <w:r>
        <w:rPr>
          <w:rFonts w:hint="eastAsia" w:ascii="宋体" w:hAnsi="宋体" w:cs="宋体"/>
        </w:rPr>
        <w:t>2.验收结果分为通过与不通过。对于不通过的情况，由乙方按照甲方的意见采取补救措施后再次进行项目验收。</w:t>
      </w:r>
    </w:p>
    <w:p>
      <w:pPr>
        <w:widowControl/>
        <w:ind w:firstLine="480" w:firstLineChars="200"/>
        <w:jc w:val="left"/>
        <w:rPr>
          <w:rFonts w:hint="eastAsia" w:ascii="宋体" w:hAnsi="宋体" w:cs="宋体"/>
        </w:rPr>
      </w:pPr>
      <w:r>
        <w:rPr>
          <w:rFonts w:hint="eastAsia" w:ascii="宋体" w:hAnsi="宋体" w:cs="宋体"/>
        </w:rPr>
        <w:t>（二）项目可交付成果验收标准：</w:t>
      </w:r>
    </w:p>
    <w:p>
      <w:pPr>
        <w:widowControl/>
        <w:ind w:firstLine="480" w:firstLineChars="200"/>
        <w:jc w:val="left"/>
        <w:rPr>
          <w:rFonts w:hint="eastAsia" w:ascii="宋体" w:hAnsi="宋体" w:cs="宋体"/>
        </w:rPr>
      </w:pPr>
      <w:r>
        <w:rPr>
          <w:rFonts w:hint="eastAsia" w:ascii="宋体" w:hAnsi="宋体" w:cs="宋体"/>
        </w:rPr>
        <w:t>1、本项目验收报告所涉及范围需涵盖合同范围内容全部设备；</w:t>
      </w:r>
    </w:p>
    <w:p>
      <w:pPr>
        <w:widowControl/>
        <w:ind w:left="794" w:hanging="794" w:hangingChars="331"/>
        <w:jc w:val="left"/>
        <w:rPr>
          <w:rFonts w:hint="eastAsia" w:ascii="宋体" w:hAnsi="宋体" w:cs="宋体"/>
        </w:rPr>
      </w:pPr>
      <w:r>
        <w:rPr>
          <w:rFonts w:hint="eastAsia" w:ascii="宋体" w:hAnsi="宋体" w:cs="宋体"/>
        </w:rPr>
        <w:t xml:space="preserve">    2、项目工作实施与各项报告编制需遵循国家相关要求及标准；</w:t>
      </w:r>
    </w:p>
    <w:p>
      <w:pPr>
        <w:widowControl/>
        <w:ind w:firstLine="480" w:firstLineChars="200"/>
        <w:jc w:val="left"/>
        <w:rPr>
          <w:rFonts w:hint="eastAsia" w:ascii="宋体" w:hAnsi="宋体" w:cs="宋体"/>
        </w:rPr>
      </w:pPr>
      <w:r>
        <w:rPr>
          <w:rFonts w:ascii="宋体" w:hAnsi="宋体" w:cs="宋体"/>
        </w:rPr>
        <w:t>3、</w:t>
      </w:r>
      <w:r>
        <w:rPr>
          <w:rFonts w:hint="eastAsia" w:ascii="宋体" w:hAnsi="宋体" w:cs="宋体"/>
        </w:rPr>
        <w:t>文档格式及检查内容需符合等级保护标准要求。</w:t>
      </w:r>
    </w:p>
    <w:p>
      <w:pPr>
        <w:widowControl/>
        <w:ind w:firstLine="480" w:firstLineChars="200"/>
        <w:jc w:val="left"/>
        <w:rPr>
          <w:rFonts w:hint="eastAsia" w:ascii="宋体" w:hAnsi="宋体" w:cs="宋体"/>
        </w:rPr>
      </w:pPr>
      <w:r>
        <w:rPr>
          <w:rFonts w:hint="eastAsia" w:ascii="宋体" w:hAnsi="宋体" w:cs="宋体"/>
        </w:rPr>
        <w:t>（三）、本项目验收中的报告参照标准依据：</w:t>
      </w:r>
    </w:p>
    <w:p>
      <w:pPr>
        <w:pStyle w:val="5"/>
        <w:ind w:left="480" w:leftChars="200" w:firstLine="0" w:firstLineChars="0"/>
        <w:rPr>
          <w:rFonts w:hint="eastAsia" w:ascii="宋体" w:hAnsi="宋体" w:cs="宋体"/>
          <w:szCs w:val="20"/>
        </w:rPr>
      </w:pPr>
      <w:r>
        <w:rPr>
          <w:rFonts w:hint="eastAsia" w:ascii="宋体" w:hAnsi="宋体" w:cs="宋体"/>
          <w:szCs w:val="20"/>
        </w:rPr>
        <w:t>（1）《中华人民共和国网络安全法》</w:t>
      </w:r>
    </w:p>
    <w:p>
      <w:pPr>
        <w:pStyle w:val="5"/>
        <w:ind w:left="480" w:leftChars="200" w:firstLine="0" w:firstLineChars="0"/>
        <w:rPr>
          <w:rFonts w:hint="eastAsia" w:ascii="宋体" w:hAnsi="宋体" w:cs="宋体"/>
          <w:szCs w:val="20"/>
        </w:rPr>
      </w:pPr>
      <w:r>
        <w:rPr>
          <w:rFonts w:hint="eastAsia" w:ascii="宋体" w:hAnsi="宋体" w:cs="宋体"/>
          <w:szCs w:val="20"/>
        </w:rPr>
        <w:t>（2）《中华人民共和国计算机信息系统安全保护条例》</w:t>
      </w:r>
    </w:p>
    <w:p>
      <w:pPr>
        <w:pStyle w:val="5"/>
        <w:ind w:left="480" w:leftChars="200" w:firstLine="0" w:firstLineChars="0"/>
        <w:rPr>
          <w:rFonts w:hint="eastAsia" w:ascii="宋体" w:hAnsi="宋体" w:cs="宋体"/>
          <w:szCs w:val="20"/>
        </w:rPr>
      </w:pPr>
      <w:r>
        <w:rPr>
          <w:rFonts w:hint="eastAsia" w:ascii="宋体" w:hAnsi="宋体" w:cs="宋体"/>
          <w:szCs w:val="20"/>
        </w:rPr>
        <w:t>（3）《信息安全等级保护管理办法》</w:t>
      </w:r>
    </w:p>
    <w:p>
      <w:pPr>
        <w:pStyle w:val="5"/>
        <w:ind w:left="480" w:leftChars="200" w:firstLine="0" w:firstLineChars="0"/>
        <w:rPr>
          <w:rFonts w:hint="eastAsia" w:ascii="宋体" w:hAnsi="宋体" w:cs="宋体"/>
          <w:szCs w:val="20"/>
        </w:rPr>
      </w:pPr>
      <w:r>
        <w:rPr>
          <w:rFonts w:hint="eastAsia" w:ascii="宋体" w:hAnsi="宋体" w:cs="宋体"/>
          <w:szCs w:val="20"/>
        </w:rPr>
        <w:t>（4）《大型互联网企业网络安全专项保卫技术检测方案》</w:t>
      </w:r>
    </w:p>
    <w:p>
      <w:pPr>
        <w:pStyle w:val="5"/>
        <w:ind w:left="480" w:leftChars="200" w:firstLine="0" w:firstLineChars="0"/>
        <w:rPr>
          <w:rFonts w:hint="eastAsia" w:ascii="宋体" w:hAnsi="宋体" w:cs="宋体"/>
          <w:szCs w:val="20"/>
        </w:rPr>
      </w:pPr>
      <w:r>
        <w:rPr>
          <w:rFonts w:hint="eastAsia" w:ascii="宋体" w:hAnsi="宋体" w:cs="宋体"/>
          <w:szCs w:val="20"/>
        </w:rPr>
        <w:t>（5）GB 17859-1999 《计算机信息系统安全保护等级划分准则》</w:t>
      </w:r>
    </w:p>
    <w:p>
      <w:pPr>
        <w:pStyle w:val="5"/>
        <w:ind w:left="480" w:leftChars="200" w:firstLine="0" w:firstLineChars="0"/>
        <w:rPr>
          <w:rFonts w:hint="eastAsia" w:ascii="宋体" w:hAnsi="宋体" w:cs="宋体"/>
          <w:color w:val="auto"/>
          <w:szCs w:val="20"/>
        </w:rPr>
      </w:pPr>
      <w:r>
        <w:rPr>
          <w:rFonts w:hint="eastAsia" w:ascii="宋体" w:hAnsi="宋体" w:cs="宋体"/>
          <w:szCs w:val="20"/>
        </w:rPr>
        <w:t>（6）GB</w:t>
      </w:r>
      <w:r>
        <w:rPr>
          <w:rFonts w:hint="eastAsia" w:ascii="宋体" w:hAnsi="宋体" w:cs="宋体"/>
          <w:color w:val="auto"/>
          <w:szCs w:val="20"/>
        </w:rPr>
        <w:t>/T 22239</w:t>
      </w:r>
      <w:r>
        <w:rPr>
          <w:rFonts w:ascii="宋体" w:hAnsi="宋体" w:cs="宋体"/>
          <w:color w:val="auto"/>
          <w:szCs w:val="20"/>
        </w:rPr>
        <w:t>-2019</w:t>
      </w:r>
      <w:r>
        <w:rPr>
          <w:rFonts w:hint="eastAsia" w:ascii="宋体" w:hAnsi="宋体" w:cs="宋体"/>
          <w:color w:val="auto"/>
          <w:szCs w:val="20"/>
        </w:rPr>
        <w:t>《信息安全技术网络安全等级保护基本要求》</w:t>
      </w:r>
    </w:p>
    <w:p>
      <w:pPr>
        <w:pStyle w:val="5"/>
        <w:ind w:left="480" w:leftChars="200" w:firstLine="0" w:firstLineChars="0"/>
        <w:rPr>
          <w:rFonts w:hint="eastAsia" w:ascii="宋体" w:hAnsi="宋体" w:cs="宋体"/>
          <w:color w:val="auto"/>
          <w:szCs w:val="20"/>
        </w:rPr>
      </w:pPr>
      <w:r>
        <w:rPr>
          <w:rFonts w:hint="eastAsia" w:ascii="宋体" w:hAnsi="宋体" w:cs="宋体"/>
          <w:color w:val="auto"/>
          <w:szCs w:val="20"/>
        </w:rPr>
        <w:t>（7）GB/T 28448</w:t>
      </w:r>
      <w:r>
        <w:rPr>
          <w:rFonts w:ascii="宋体" w:hAnsi="宋体" w:cs="宋体"/>
          <w:color w:val="auto"/>
          <w:szCs w:val="20"/>
        </w:rPr>
        <w:t>-2019</w:t>
      </w:r>
      <w:r>
        <w:rPr>
          <w:rFonts w:hint="eastAsia" w:ascii="宋体" w:hAnsi="宋体" w:cs="宋体"/>
          <w:color w:val="auto"/>
          <w:szCs w:val="20"/>
        </w:rPr>
        <w:t>《信息安全技术网络安全等级保护测评要求》</w:t>
      </w:r>
    </w:p>
    <w:p>
      <w:pPr>
        <w:pStyle w:val="5"/>
        <w:ind w:left="480" w:leftChars="200" w:firstLine="0" w:firstLineChars="0"/>
        <w:rPr>
          <w:rFonts w:hint="eastAsia" w:ascii="宋体" w:hAnsi="宋体" w:cs="宋体"/>
          <w:color w:val="auto"/>
          <w:szCs w:val="20"/>
        </w:rPr>
      </w:pPr>
      <w:r>
        <w:rPr>
          <w:rFonts w:hint="eastAsia" w:ascii="宋体" w:hAnsi="宋体" w:cs="宋体"/>
          <w:color w:val="auto"/>
          <w:szCs w:val="20"/>
        </w:rPr>
        <w:t>（8）GB/T 20984-2022《信息安全技术 信息安全风险评估方法》</w:t>
      </w:r>
    </w:p>
    <w:p>
      <w:pPr>
        <w:pStyle w:val="5"/>
        <w:ind w:left="480" w:leftChars="200" w:firstLine="0" w:firstLineChars="0"/>
        <w:rPr>
          <w:rFonts w:hint="eastAsia" w:ascii="宋体" w:hAnsi="宋体" w:cs="宋体"/>
          <w:color w:val="auto"/>
          <w:szCs w:val="20"/>
        </w:rPr>
      </w:pPr>
      <w:r>
        <w:rPr>
          <w:rFonts w:hint="eastAsia" w:ascii="宋体" w:hAnsi="宋体" w:cs="宋体"/>
          <w:color w:val="auto"/>
          <w:szCs w:val="20"/>
        </w:rPr>
        <w:t>（9）GB/T 20274.1-2023《信息安全技术信息系统安全保障评估框架第1部分：简介和一般模型》</w:t>
      </w:r>
    </w:p>
    <w:p>
      <w:pPr>
        <w:widowControl/>
        <w:ind w:firstLine="480" w:firstLineChars="200"/>
        <w:jc w:val="left"/>
        <w:rPr>
          <w:rFonts w:hint="eastAsia" w:ascii="宋体" w:hAnsi="宋体" w:cs="宋体"/>
          <w:color w:val="auto"/>
        </w:rPr>
      </w:pPr>
      <w:r>
        <w:rPr>
          <w:rFonts w:hint="eastAsia" w:ascii="宋体" w:hAnsi="宋体" w:cs="宋体"/>
          <w:color w:val="auto"/>
          <w:szCs w:val="20"/>
        </w:rPr>
        <w:t>（10）GB/T 18336.1-2015《信息技术安全技术信息技术安全性评估准则第1部分：简介和一般模型》</w:t>
      </w:r>
    </w:p>
    <w:p>
      <w:pPr>
        <w:rPr>
          <w:rFonts w:hint="eastAsia" w:ascii="宋体" w:hAnsi="宋体" w:cs="宋体"/>
        </w:rPr>
      </w:pPr>
    </w:p>
    <w:p>
      <w:bookmarkStart w:id="23" w:name="_GoBack"/>
      <w:bookmarkEnd w:id="2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A9224"/>
    <w:multiLevelType w:val="singleLevel"/>
    <w:tmpl w:val="D62A9224"/>
    <w:lvl w:ilvl="0" w:tentative="0">
      <w:start w:val="1"/>
      <w:numFmt w:val="chineseCounting"/>
      <w:suff w:val="nothing"/>
      <w:lvlText w:val="%1、"/>
      <w:lvlJc w:val="left"/>
      <w:rPr>
        <w:rFonts w:hint="eastAsia"/>
      </w:rPr>
    </w:lvl>
  </w:abstractNum>
  <w:abstractNum w:abstractNumId="1">
    <w:nsid w:val="6C6DF5F9"/>
    <w:multiLevelType w:val="singleLevel"/>
    <w:tmpl w:val="6C6DF5F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YWVjYjBhYjg3YzE3NTEyYzJlNTk1NGMxN2Y1NjcifQ=="/>
  </w:docVars>
  <w:rsids>
    <w:rsidRoot w:val="00000000"/>
    <w:rsid w:val="0BC80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sz w:val="24"/>
    </w:rPr>
  </w:style>
  <w:style w:type="paragraph" w:styleId="5">
    <w:name w:val="List Paragraph"/>
    <w:basedOn w:val="1"/>
    <w:qFormat/>
    <w:uiPriority w:val="34"/>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2023-09-01T01:31:38Z</dcterms:created>
  <dc:creator>jaxd</dc:creator>
  <cp:lastModifiedBy>jaxd</cp:lastModifiedBy>
  <dcterms:modified xsi:type="dcterms:W3CDTF">2023-09-01T01:31:59Z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8898237111D24077B3CC5484377E4263_12</vt:lpwstr>
  </property>
</Properties>
</file>