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3"/>
        <w:rPr>
          <w:rFonts w:ascii="仿宋_GB2312" w:hAnsi="仿宋_GB2312" w:eastAsia="仿宋_GB2312" w:cs="仿宋_GB2312"/>
        </w:rPr>
      </w:pPr>
      <w:bookmarkStart w:id="0" w:name="_Toc22287"/>
      <w:bookmarkStart w:id="1" w:name="_Toc24240"/>
      <w:bookmarkStart w:id="2" w:name="_Toc19419"/>
      <w:bookmarkStart w:id="3" w:name="_Toc19912"/>
      <w:bookmarkStart w:id="4" w:name="_Toc6448_WPSOffice_Level1"/>
      <w:bookmarkStart w:id="5" w:name="_Toc5560_WPSOffice_Level1"/>
      <w:bookmarkStart w:id="6" w:name="_Toc3421"/>
      <w:bookmarkStart w:id="7" w:name="_Toc26768"/>
      <w:r>
        <w:rPr>
          <w:rFonts w:hint="eastAsia" w:ascii="仿宋_GB2312" w:hAnsi="仿宋_GB2312" w:eastAsia="仿宋_GB2312" w:cs="仿宋_GB2312"/>
        </w:rPr>
        <w:t>第三部分</w:t>
      </w:r>
      <w:bookmarkEnd w:id="0"/>
      <w:bookmarkEnd w:id="1"/>
      <w:bookmarkEnd w:id="2"/>
      <w:bookmarkEnd w:id="3"/>
      <w:bookmarkEnd w:id="4"/>
      <w:bookmarkEnd w:id="5"/>
      <w:r>
        <w:rPr>
          <w:rFonts w:hint="eastAsia" w:ascii="仿宋_GB2312" w:hAnsi="仿宋_GB2312" w:eastAsia="仿宋_GB2312" w:cs="仿宋_GB2312"/>
        </w:rPr>
        <w:t>服务要求</w:t>
      </w:r>
      <w:bookmarkEnd w:id="6"/>
      <w:bookmarkEnd w:id="7"/>
      <w:bookmarkStart w:id="8" w:name="_Toc18362"/>
      <w:bookmarkStart w:id="9" w:name="_Toc4431_WPSOffice_Level1"/>
      <w:bookmarkStart w:id="10" w:name="_Toc8398"/>
      <w:bookmarkStart w:id="11" w:name="_Toc3724_WPSOffice_Level1"/>
      <w:bookmarkStart w:id="12" w:name="第四部分"/>
      <w:bookmarkStart w:id="13" w:name="_Toc28569"/>
      <w:bookmarkStart w:id="14" w:name="_Toc2681"/>
      <w:bookmarkStart w:id="15" w:name="_Toc14251"/>
    </w:p>
    <w:p>
      <w:pPr>
        <w:spacing w:line="360" w:lineRule="auto"/>
        <w:jc w:val="center"/>
        <w:rPr>
          <w:rFonts w:ascii="仿宋_GB2312" w:hAnsi="仿宋_GB2312" w:eastAsia="仿宋_GB2312" w:cs="仿宋_GB2312"/>
          <w:b/>
          <w:sz w:val="24"/>
          <w:szCs w:val="24"/>
        </w:rPr>
      </w:pPr>
      <w:r>
        <w:rPr>
          <w:rFonts w:hint="eastAsia" w:ascii="仿宋_GB2312" w:hAnsi="仿宋_GB2312" w:eastAsia="仿宋_GB2312" w:cs="仿宋_GB2312"/>
          <w:sz w:val="24"/>
          <w:szCs w:val="24"/>
        </w:rPr>
        <w:t>（如本章内容与遴选文件其它章节内容有冲突，应以本部分内容为准。）</w:t>
      </w:r>
    </w:p>
    <w:p>
      <w:pPr>
        <w:rPr>
          <w:rFonts w:ascii="仿宋_GB2312" w:hAnsi="仿宋_GB2312" w:eastAsia="仿宋_GB2312" w:cs="仿宋_GB2312"/>
          <w:sz w:val="24"/>
          <w:szCs w:val="24"/>
        </w:rPr>
      </w:pPr>
    </w:p>
    <w:p>
      <w:pPr>
        <w:numPr>
          <w:ilvl w:val="255"/>
          <w:numId w:val="0"/>
        </w:num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一、预算金额：人民币49.714万元</w:t>
      </w:r>
    </w:p>
    <w:p>
      <w:pPr>
        <w:numPr>
          <w:ilvl w:val="255"/>
          <w:numId w:val="0"/>
        </w:numPr>
        <w:spacing w:line="360" w:lineRule="auto"/>
        <w:rPr>
          <w:rFonts w:ascii="仿宋_GB2312" w:hAnsi="仿宋_GB2312" w:eastAsia="仿宋_GB2312" w:cs="仿宋_GB2312"/>
          <w:sz w:val="24"/>
          <w:szCs w:val="24"/>
        </w:rPr>
      </w:pPr>
    </w:p>
    <w:p>
      <w:pPr>
        <w:numPr>
          <w:ilvl w:val="255"/>
          <w:numId w:val="0"/>
        </w:num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二、项目概况</w:t>
      </w:r>
    </w:p>
    <w:p>
      <w:pPr>
        <w:spacing w:line="360" w:lineRule="auto"/>
        <w:ind w:firstLine="360" w:firstLineChars="150"/>
        <w:rPr>
          <w:rFonts w:ascii="仿宋_GB2312" w:hAnsi="仿宋_GB2312" w:eastAsia="仿宋_GB2312" w:cs="仿宋_GB2312"/>
          <w:sz w:val="24"/>
          <w:szCs w:val="24"/>
        </w:rPr>
      </w:pPr>
      <w:r>
        <w:rPr>
          <w:rFonts w:hint="eastAsia" w:ascii="仿宋_GB2312" w:hAnsi="仿宋_GB2312" w:eastAsia="仿宋_GB2312" w:cs="仿宋_GB2312"/>
          <w:sz w:val="24"/>
        </w:rPr>
        <w:t>《北京中轴线展览》</w:t>
      </w:r>
      <w:r>
        <w:rPr>
          <w:rFonts w:hint="eastAsia" w:ascii="仿宋_GB2312" w:hAnsi="仿宋_GB2312" w:eastAsia="仿宋_GB2312" w:cs="仿宋_GB2312"/>
          <w:sz w:val="24"/>
          <w:szCs w:val="22"/>
        </w:rPr>
        <w:t>拟</w:t>
      </w:r>
      <w:r>
        <w:rPr>
          <w:rFonts w:hint="eastAsia" w:ascii="仿宋_GB2312" w:hAnsi="仿宋_GB2312" w:eastAsia="仿宋_GB2312" w:cs="仿宋_GB2312"/>
          <w:sz w:val="24"/>
          <w:szCs w:val="24"/>
        </w:rPr>
        <w:t>于2022年7月上旬至 2022年12月（暂定）首都博物馆地上一层B展厅开幕，此次展览涉及到51组件外借文物，需供应商提供文物运输服务。包含的内容有提供包装材料、周转箱；包/拆装作业；18家单位至首都博物馆往返运输及车辆装卸；保安押运；协助布展/撤展等。</w:t>
      </w:r>
    </w:p>
    <w:p>
      <w:pPr>
        <w:spacing w:line="360" w:lineRule="auto"/>
        <w:rPr>
          <w:rFonts w:ascii="仿宋_GB2312" w:hAnsi="仿宋_GB2312" w:eastAsia="仿宋_GB2312" w:cs="仿宋_GB2312"/>
          <w:sz w:val="24"/>
          <w:szCs w:val="24"/>
        </w:rPr>
      </w:pPr>
    </w:p>
    <w:p>
      <w:pPr>
        <w:numPr>
          <w:ilvl w:val="0"/>
          <w:numId w:val="5"/>
        </w:num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服务内容</w:t>
      </w:r>
    </w:p>
    <w:p>
      <w:pPr>
        <w:numPr>
          <w:ilvl w:val="255"/>
          <w:numId w:val="0"/>
        </w:num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1、运输路线具体见本章附件1。</w:t>
      </w:r>
    </w:p>
    <w:p>
      <w:pPr>
        <w:numPr>
          <w:ilvl w:val="255"/>
          <w:numId w:val="0"/>
        </w:num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2、本项目运输文物货量：文物展品51件/套，约10个立方，具体文物清单见本章附件2。</w:t>
      </w:r>
    </w:p>
    <w:p>
      <w:pPr>
        <w:spacing w:line="360" w:lineRule="auto"/>
        <w:jc w:val="center"/>
        <w:rPr>
          <w:rFonts w:ascii="仿宋_GB2312" w:hAnsi="仿宋_GB2312" w:eastAsia="仿宋_GB2312" w:cs="仿宋_GB2312"/>
          <w:b/>
          <w:sz w:val="24"/>
          <w:szCs w:val="24"/>
        </w:rPr>
      </w:pPr>
      <w:r>
        <w:rPr>
          <w:rFonts w:hint="eastAsia" w:ascii="仿宋_GB2312" w:hAnsi="仿宋_GB2312" w:eastAsia="仿宋_GB2312" w:cs="仿宋_GB2312"/>
          <w:b/>
          <w:sz w:val="24"/>
          <w:szCs w:val="24"/>
        </w:rPr>
        <w:t>*3、供应商针对以下服务内容在响应文件中提交加盖供应商单位公章的承诺函原件，格式详见“第六部分附件－－响应文件的格式”的“*附件10服务承诺函”。</w:t>
      </w:r>
    </w:p>
    <w:p>
      <w:pPr>
        <w:numPr>
          <w:ilvl w:val="255"/>
          <w:numId w:val="0"/>
        </w:numPr>
        <w:spacing w:line="360" w:lineRule="auto"/>
        <w:rPr>
          <w:rFonts w:ascii="仿宋_GB2312" w:hAnsi="仿宋_GB2312" w:eastAsia="仿宋_GB2312" w:cs="仿宋_GB2312"/>
          <w:sz w:val="24"/>
          <w:szCs w:val="24"/>
        </w:rPr>
      </w:pPr>
      <w:r>
        <w:rPr>
          <w:rFonts w:hint="eastAsia" w:ascii="仿宋_GB2312" w:hAnsi="仿宋_GB2312" w:eastAsia="仿宋_GB2312" w:cs="仿宋_GB2312"/>
          <w:bCs/>
          <w:sz w:val="24"/>
          <w:szCs w:val="24"/>
        </w:rPr>
        <w:t>供应商应提供的服务内容包含但不仅限于以下方面：</w:t>
      </w:r>
    </w:p>
    <w:p>
      <w:pPr>
        <w:spacing w:line="360" w:lineRule="auto"/>
        <w:rPr>
          <w:rFonts w:ascii="仿宋_GB2312" w:hAnsi="仿宋_GB2312" w:eastAsia="仿宋_GB2312" w:cs="仿宋_GB2312"/>
          <w:bCs/>
          <w:sz w:val="24"/>
          <w:szCs w:val="24"/>
        </w:rPr>
      </w:pPr>
      <w:r>
        <w:rPr>
          <w:rFonts w:hint="eastAsia" w:ascii="仿宋_GB2312" w:hAnsi="仿宋_GB2312" w:eastAsia="仿宋_GB2312" w:cs="仿宋_GB2312"/>
          <w:bCs/>
          <w:sz w:val="24"/>
          <w:szCs w:val="24"/>
        </w:rPr>
        <w:t>①根据不同的文物需求提供专用、规范的包装材料和周转箱，按文物情况和立方数制作运输的外包装并负责展览文物的包/拆装作业；</w:t>
      </w:r>
    </w:p>
    <w:p>
      <w:pPr>
        <w:spacing w:line="360" w:lineRule="auto"/>
        <w:rPr>
          <w:rFonts w:ascii="仿宋_GB2312" w:hAnsi="仿宋_GB2312" w:eastAsia="仿宋_GB2312" w:cs="仿宋_GB2312"/>
          <w:bCs/>
          <w:sz w:val="24"/>
          <w:szCs w:val="24"/>
        </w:rPr>
      </w:pPr>
      <w:r>
        <w:rPr>
          <w:rFonts w:hint="eastAsia" w:ascii="仿宋_GB2312" w:hAnsi="仿宋_GB2312" w:eastAsia="仿宋_GB2312" w:cs="仿宋_GB2312"/>
          <w:bCs/>
          <w:sz w:val="24"/>
          <w:szCs w:val="24"/>
        </w:rPr>
        <w:t>②负责18家单位至首都博物馆往返文物运输车辆及装卸作业；</w:t>
      </w:r>
    </w:p>
    <w:p>
      <w:pPr>
        <w:numPr>
          <w:ilvl w:val="255"/>
          <w:numId w:val="0"/>
        </w:numPr>
        <w:spacing w:line="360" w:lineRule="auto"/>
        <w:rPr>
          <w:rFonts w:ascii="仿宋_GB2312" w:hAnsi="仿宋_GB2312" w:eastAsia="仿宋_GB2312" w:cs="仿宋_GB2312"/>
          <w:bCs/>
          <w:sz w:val="24"/>
          <w:szCs w:val="24"/>
        </w:rPr>
      </w:pPr>
      <w:r>
        <w:rPr>
          <w:rFonts w:hint="eastAsia" w:ascii="仿宋_GB2312" w:hAnsi="仿宋_GB2312" w:eastAsia="仿宋_GB2312" w:cs="仿宋_GB2312"/>
          <w:bCs/>
          <w:sz w:val="24"/>
          <w:szCs w:val="24"/>
        </w:rPr>
        <w:t>③负责文物往返运输的保安押运；</w:t>
      </w:r>
    </w:p>
    <w:p>
      <w:pPr>
        <w:numPr>
          <w:ilvl w:val="255"/>
          <w:numId w:val="0"/>
        </w:numPr>
        <w:spacing w:line="360" w:lineRule="auto"/>
        <w:rPr>
          <w:rFonts w:ascii="仿宋_GB2312" w:hAnsi="仿宋_GB2312" w:eastAsia="仿宋_GB2312" w:cs="仿宋_GB2312"/>
          <w:bCs/>
          <w:sz w:val="24"/>
          <w:szCs w:val="24"/>
        </w:rPr>
      </w:pPr>
      <w:r>
        <w:rPr>
          <w:rFonts w:hint="eastAsia" w:ascii="仿宋_GB2312" w:hAnsi="仿宋_GB2312" w:eastAsia="仿宋_GB2312" w:cs="仿宋_GB2312"/>
          <w:bCs/>
          <w:sz w:val="24"/>
          <w:szCs w:val="24"/>
        </w:rPr>
        <w:t>④按采购人要求协助布展/撤展工作；</w:t>
      </w:r>
    </w:p>
    <w:p>
      <w:pPr>
        <w:numPr>
          <w:ilvl w:val="255"/>
          <w:numId w:val="0"/>
        </w:numPr>
        <w:spacing w:line="360" w:lineRule="auto"/>
        <w:rPr>
          <w:rFonts w:ascii="仿宋_GB2312" w:hAnsi="仿宋_GB2312" w:eastAsia="仿宋_GB2312" w:cs="仿宋_GB2312"/>
          <w:bCs/>
          <w:sz w:val="24"/>
          <w:szCs w:val="24"/>
        </w:rPr>
      </w:pPr>
      <w:r>
        <w:rPr>
          <w:rFonts w:hint="eastAsia" w:ascii="仿宋_GB2312" w:hAnsi="仿宋_GB2312" w:eastAsia="仿宋_GB2312" w:cs="仿宋_GB2312"/>
          <w:bCs/>
          <w:sz w:val="24"/>
          <w:szCs w:val="24"/>
        </w:rPr>
        <w:t>⑤全力协助采购人办理保险（保险费用由采购人支付）等相关手续事项。</w:t>
      </w:r>
    </w:p>
    <w:p>
      <w:pPr>
        <w:numPr>
          <w:ilvl w:val="255"/>
          <w:numId w:val="0"/>
        </w:numPr>
        <w:spacing w:line="360" w:lineRule="auto"/>
        <w:rPr>
          <w:rFonts w:ascii="仿宋_GB2312" w:hAnsi="仿宋_GB2312" w:eastAsia="仿宋_GB2312" w:cs="仿宋_GB2312"/>
          <w:bCs/>
          <w:sz w:val="24"/>
          <w:szCs w:val="24"/>
        </w:rPr>
      </w:pPr>
    </w:p>
    <w:p>
      <w:pPr>
        <w:numPr>
          <w:ilvl w:val="255"/>
          <w:numId w:val="0"/>
        </w:numPr>
        <w:spacing w:line="360" w:lineRule="auto"/>
        <w:rPr>
          <w:rFonts w:ascii="仿宋_GB2312" w:hAnsi="仿宋_GB2312" w:eastAsia="仿宋_GB2312" w:cs="仿宋_GB2312"/>
          <w:bCs/>
          <w:sz w:val="24"/>
          <w:szCs w:val="24"/>
        </w:rPr>
      </w:pPr>
      <w:r>
        <w:rPr>
          <w:rFonts w:hint="eastAsia" w:ascii="仿宋_GB2312" w:hAnsi="仿宋_GB2312" w:eastAsia="仿宋_GB2312" w:cs="仿宋_GB2312"/>
          <w:bCs/>
          <w:sz w:val="24"/>
          <w:szCs w:val="24"/>
        </w:rPr>
        <w:t>四、服务要求</w:t>
      </w:r>
    </w:p>
    <w:p>
      <w:pPr>
        <w:spacing w:line="360" w:lineRule="auto"/>
        <w:contextualSpacing/>
        <w:rPr>
          <w:rFonts w:ascii="仿宋_GB2312" w:hAnsi="仿宋_GB2312" w:eastAsia="仿宋_GB2312" w:cs="仿宋_GB2312"/>
          <w:b/>
          <w:sz w:val="24"/>
          <w:szCs w:val="24"/>
        </w:rPr>
      </w:pPr>
      <w:r>
        <w:rPr>
          <w:rFonts w:hint="eastAsia" w:ascii="仿宋_GB2312" w:hAnsi="仿宋_GB2312" w:eastAsia="仿宋_GB2312" w:cs="仿宋_GB2312"/>
          <w:b/>
          <w:sz w:val="24"/>
          <w:szCs w:val="24"/>
        </w:rPr>
        <w:t>*1、供应商应具有有效的《道路运输经营许可证》</w:t>
      </w:r>
    </w:p>
    <w:p>
      <w:pPr>
        <w:numPr>
          <w:ilvl w:val="255"/>
          <w:numId w:val="0"/>
        </w:numPr>
        <w:spacing w:line="360" w:lineRule="auto"/>
        <w:rPr>
          <w:rFonts w:ascii="仿宋_GB2312" w:hAnsi="仿宋_GB2312" w:eastAsia="仿宋_GB2312" w:cs="仿宋_GB2312"/>
          <w:b/>
          <w:sz w:val="24"/>
          <w:szCs w:val="24"/>
        </w:rPr>
      </w:pPr>
      <w:r>
        <w:rPr>
          <w:rFonts w:hint="eastAsia" w:ascii="仿宋_GB2312" w:hAnsi="仿宋_GB2312" w:eastAsia="仿宋_GB2312" w:cs="仿宋_GB2312"/>
          <w:b/>
          <w:sz w:val="24"/>
          <w:szCs w:val="24"/>
        </w:rPr>
        <w:t>*2、文物包装材料要求：根据文物特性采用的包装材料，应符合《文物运输包装规范》的国家标准（GB/T23862-2009），供应商必须针对此服务要求在响应文件中提交加盖供应商单位公章的承诺函原件,格式详见“第六部分附件－－响应文件的格式”的“*附件10服务承诺函”。</w:t>
      </w:r>
    </w:p>
    <w:p>
      <w:pPr>
        <w:numPr>
          <w:ilvl w:val="255"/>
          <w:numId w:val="0"/>
        </w:numPr>
        <w:spacing w:line="360" w:lineRule="auto"/>
        <w:rPr>
          <w:rFonts w:ascii="仿宋_GB2312" w:hAnsi="仿宋_GB2312" w:eastAsia="仿宋_GB2312" w:cs="仿宋_GB2312"/>
          <w:b/>
          <w:sz w:val="24"/>
          <w:szCs w:val="24"/>
        </w:rPr>
      </w:pPr>
      <w:r>
        <w:rPr>
          <w:rFonts w:hint="eastAsia" w:ascii="仿宋_GB2312" w:hAnsi="仿宋_GB2312" w:eastAsia="仿宋_GB2312" w:cs="仿宋_GB2312"/>
          <w:b/>
          <w:sz w:val="24"/>
          <w:szCs w:val="24"/>
        </w:rPr>
        <w:t>*3、文物运输要求：运输服务应全程符合《文物运输包装规范》的国家标准（GB/T23862-2009），供应商必须针对此服务要求在响应文件中提交加盖供应商单位公章的承诺函原件,格式详见“第六部分附件－－响应文件的格式”的“*附件10服务承诺函”。</w:t>
      </w:r>
    </w:p>
    <w:p>
      <w:pPr>
        <w:widowControl/>
        <w:adjustRightInd w:val="0"/>
        <w:snapToGrid w:val="0"/>
        <w:spacing w:line="360" w:lineRule="auto"/>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①运输方式：陆运。</w:t>
      </w:r>
    </w:p>
    <w:p>
      <w:pPr>
        <w:widowControl/>
        <w:adjustRightInd w:val="0"/>
        <w:snapToGrid w:val="0"/>
        <w:spacing w:line="360" w:lineRule="auto"/>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②运输车辆：车辆应为特制全封闭、配备气垫“减震”系统，配有温湿度控制装置，配备车辆尾部自动升降板，配有车内消防设备，具有 GPS 系统、具备远程监控、轨迹记录、报警和防盗反劫系统。</w:t>
      </w:r>
    </w:p>
    <w:p>
      <w:pPr>
        <w:widowControl/>
        <w:adjustRightInd w:val="0"/>
        <w:snapToGrid w:val="0"/>
        <w:spacing w:line="360" w:lineRule="auto"/>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③在车辆行驶过程中，车辆速度控制在60-80公里/小时之内，安排两名司机负责轮流驾驶，通过桥梁、转弯地段时车辆减速，保证安全通行。</w:t>
      </w:r>
    </w:p>
    <w:p>
      <w:pPr>
        <w:widowControl/>
        <w:adjustRightInd w:val="0"/>
        <w:snapToGrid w:val="0"/>
        <w:spacing w:line="360" w:lineRule="auto"/>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④提前根据各类文物的情况，设计好装车图，在车内固定操作过程中，根据文物箱的实际尺寸大小与重量，配合装车图确定装车顺序及各包装箱位置，保证车厢内重量分配与装货后车厢整体重心均匀平衡；车厢内木箱摆放方向为由车头方向向外整齐摆放，通过车厢内的专用挂钩，木箱以拉紧带固定在车厢内。</w:t>
      </w:r>
    </w:p>
    <w:p>
      <w:pPr>
        <w:widowControl/>
        <w:numPr>
          <w:ilvl w:val="255"/>
          <w:numId w:val="0"/>
        </w:numPr>
        <w:adjustRightInd w:val="0"/>
        <w:snapToGrid w:val="0"/>
        <w:spacing w:line="360" w:lineRule="auto"/>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4、该项目供应商需具有丰富的文物运输经验，能自行办理陆运的全部手续。作业过程中所使用的运输工具及装卸工具全部自理，由专业保安公司的保安人员全程随车往返押运，每辆文物运输车配备一名或一名以上具有由公安部监制的保安员证的专业保安押运人员。</w:t>
      </w:r>
    </w:p>
    <w:p>
      <w:pPr>
        <w:widowControl/>
        <w:numPr>
          <w:ilvl w:val="255"/>
          <w:numId w:val="0"/>
        </w:numPr>
        <w:adjustRightInd w:val="0"/>
        <w:snapToGrid w:val="0"/>
        <w:spacing w:line="360" w:lineRule="auto"/>
        <w:jc w:val="left"/>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供应商应保证成交后在与首博签订合同时，提供与响应文件中承诺的专业保安服务公司签订的合同复印件、随车的专业保安押运人员的保安员证书复印件、劳动合同复印件或社保缴纳证明复印件等能够证明保安服务公司与保安押运人员劳动关系的证明文件。供应商必须针对此服务要求在响应文件中提交加盖供应商单位公章的承诺函原件</w:t>
      </w:r>
      <w:r>
        <w:rPr>
          <w:rFonts w:ascii="仿宋_GB2312" w:hAnsi="仿宋_GB2312" w:eastAsia="仿宋_GB2312" w:cs="仿宋_GB2312"/>
          <w:b/>
          <w:bCs/>
          <w:sz w:val="24"/>
          <w:szCs w:val="24"/>
        </w:rPr>
        <w:t>,格式详见“第六部分</w:t>
      </w:r>
      <w:r>
        <w:rPr>
          <w:rFonts w:hint="eastAsia" w:ascii="仿宋_GB2312" w:hAnsi="仿宋_GB2312" w:eastAsia="仿宋_GB2312" w:cs="仿宋_GB2312"/>
          <w:b/>
          <w:bCs/>
          <w:sz w:val="24"/>
          <w:szCs w:val="24"/>
        </w:rPr>
        <w:t>附件－－响应文件的格式”的“</w:t>
      </w:r>
      <w:r>
        <w:rPr>
          <w:rFonts w:ascii="仿宋_GB2312" w:hAnsi="仿宋_GB2312" w:eastAsia="仿宋_GB2312" w:cs="仿宋_GB2312"/>
          <w:b/>
          <w:bCs/>
          <w:sz w:val="24"/>
          <w:szCs w:val="24"/>
        </w:rPr>
        <w:t>*附件</w:t>
      </w:r>
      <w:r>
        <w:rPr>
          <w:rFonts w:hint="eastAsia" w:ascii="仿宋_GB2312" w:hAnsi="仿宋_GB2312" w:eastAsia="仿宋_GB2312" w:cs="仿宋_GB2312"/>
          <w:b/>
          <w:bCs/>
          <w:sz w:val="24"/>
          <w:szCs w:val="24"/>
        </w:rPr>
        <w:t>10</w:t>
      </w:r>
      <w:r>
        <w:rPr>
          <w:rFonts w:ascii="仿宋_GB2312" w:hAnsi="仿宋_GB2312" w:eastAsia="仿宋_GB2312" w:cs="仿宋_GB2312"/>
          <w:b/>
          <w:bCs/>
          <w:sz w:val="24"/>
          <w:szCs w:val="24"/>
        </w:rPr>
        <w:t>服务承诺函”。</w:t>
      </w:r>
    </w:p>
    <w:p>
      <w:pPr>
        <w:widowControl/>
        <w:numPr>
          <w:ilvl w:val="255"/>
          <w:numId w:val="0"/>
        </w:numPr>
        <w:adjustRightInd w:val="0"/>
        <w:snapToGrid w:val="0"/>
        <w:spacing w:line="360" w:lineRule="auto"/>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5、文物运输所涉及的国家文物安全、运输内容、运输路线、运输时间均为涉密信息，运输企业及相关人员必须对以上内容严格保密，并制定和采取相应的保密措施。如造成失泄密问题发生，应无条件承担一切法律责任。</w:t>
      </w:r>
    </w:p>
    <w:p>
      <w:pPr>
        <w:widowControl/>
        <w:adjustRightInd w:val="0"/>
        <w:snapToGrid w:val="0"/>
        <w:spacing w:line="360" w:lineRule="auto"/>
        <w:jc w:val="left"/>
        <w:rPr>
          <w:rFonts w:ascii="仿宋_GB2312" w:hAnsi="仿宋_GB2312" w:cs="仿宋_GB2312"/>
          <w:sz w:val="24"/>
          <w:szCs w:val="24"/>
        </w:rPr>
      </w:pPr>
      <w:r>
        <w:rPr>
          <w:rFonts w:hint="eastAsia" w:ascii="仿宋_GB2312" w:hAnsi="仿宋_GB2312" w:eastAsia="仿宋_GB2312" w:cs="仿宋_GB2312"/>
          <w:sz w:val="24"/>
          <w:szCs w:val="24"/>
        </w:rPr>
        <w:t>6、服务团队要求：应配备一名项目负责人，有较强的组织协调能力，且具备类似项目的执行经验；服务团队有明确的组织架构，人数合理且完全满足项目需要，岗位职责明晰有针对性，具有丰富的包装技术及操作经验，且负责本批次文物的包/拆装、布/撤展、装/卸车等相关服务工作。具备文物专业包装、专业布/撤展的能力；并保证文物在包装、拆包装和布/撤展过程中，严格遵守相关专业规定，安全稳妥操作。全程不允许更换服务团队人员，如需更换需要经过采购人允许。供应商可在响应文件中提供本项目拟派项目负责人及服务团队情况。</w:t>
      </w:r>
    </w:p>
    <w:p>
      <w:pPr>
        <w:widowControl/>
        <w:numPr>
          <w:ilvl w:val="255"/>
          <w:numId w:val="0"/>
        </w:numPr>
        <w:adjustRightInd w:val="0"/>
        <w:snapToGrid w:val="0"/>
        <w:spacing w:line="360" w:lineRule="auto"/>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7、供应商可在响应文件中提供对本项目的整体认识理解以及需求分析，总体服务实施方案，拆/包装环节的组织方案及措施，服务保障措施和安全保密保障措施以及应急预案。同时要结合自身经验，提出本项目的重难点分析，可行的应对措施及相关的合理化建议，完全满足项目的需要。</w:t>
      </w:r>
    </w:p>
    <w:p>
      <w:pPr>
        <w:widowControl/>
        <w:numPr>
          <w:ilvl w:val="255"/>
          <w:numId w:val="0"/>
        </w:numPr>
        <w:adjustRightInd w:val="0"/>
        <w:snapToGrid w:val="0"/>
        <w:spacing w:line="360" w:lineRule="auto"/>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8、供应商需要根据项目情况制定有针对性的应急预案（防雨、防湿、防火、防盗及意外情况处理等）。</w:t>
      </w:r>
    </w:p>
    <w:p>
      <w:pPr>
        <w:widowControl/>
        <w:numPr>
          <w:ilvl w:val="255"/>
          <w:numId w:val="0"/>
        </w:numPr>
        <w:adjustRightInd w:val="0"/>
        <w:snapToGrid w:val="0"/>
        <w:spacing w:line="360" w:lineRule="auto"/>
        <w:jc w:val="left"/>
        <w:rPr>
          <w:rFonts w:ascii="仿宋_GB2312" w:hAnsi="仿宋_GB2312" w:eastAsia="仿宋_GB2312" w:cs="仿宋_GB2312"/>
          <w:b/>
          <w:bCs/>
          <w:color w:val="auto"/>
          <w:sz w:val="24"/>
          <w:szCs w:val="24"/>
        </w:rPr>
      </w:pPr>
      <w:r>
        <w:rPr>
          <w:rFonts w:ascii="仿宋_GB2312" w:hAnsi="仿宋_GB2312" w:eastAsia="仿宋_GB2312" w:cs="仿宋_GB2312"/>
          <w:b/>
          <w:bCs/>
          <w:color w:val="auto"/>
          <w:sz w:val="24"/>
          <w:szCs w:val="24"/>
        </w:rPr>
        <w:t>9</w:t>
      </w:r>
      <w:r>
        <w:rPr>
          <w:rFonts w:hint="eastAsia" w:ascii="仿宋_GB2312" w:hAnsi="仿宋_GB2312" w:eastAsia="仿宋_GB2312" w:cs="仿宋_GB2312"/>
          <w:b/>
          <w:bCs/>
          <w:color w:val="auto"/>
          <w:sz w:val="24"/>
          <w:szCs w:val="24"/>
        </w:rPr>
        <w:t>、该项目文物运输需要保安押运服务。如供应商具备《保安服务许可证》，则需要在响应文件中提供《保安服务许可证》复印件；如供应商不具备《保安服务许可证》，则供应商需要在响应文件中载明承担保安押运服务的主体及其服务范围，并同时提供该主体的《保安服务许可证》复印件，以上材料均需加盖供应商单位公章。承担保安押运服务的主体不得再次分包，并就其承担的服务</w:t>
      </w:r>
      <w:r>
        <w:rPr>
          <w:rFonts w:hint="eastAsia" w:ascii="仿宋_GB2312" w:hAnsi="仿宋_GB2312" w:eastAsia="仿宋_GB2312" w:cs="仿宋_GB2312"/>
          <w:b/>
          <w:bCs/>
          <w:color w:val="auto"/>
          <w:sz w:val="24"/>
          <w:szCs w:val="24"/>
          <w:lang w:val="en-US" w:eastAsia="zh-CN"/>
        </w:rPr>
        <w:t>由供应商</w:t>
      </w:r>
      <w:r>
        <w:rPr>
          <w:rFonts w:hint="eastAsia" w:ascii="仿宋_GB2312" w:hAnsi="仿宋_GB2312" w:eastAsia="仿宋_GB2312" w:cs="仿宋_GB2312"/>
          <w:b/>
          <w:bCs/>
          <w:color w:val="auto"/>
          <w:sz w:val="24"/>
          <w:szCs w:val="24"/>
        </w:rPr>
        <w:t>向采购人负责并承担责任。</w:t>
      </w:r>
    </w:p>
    <w:p>
      <w:pPr>
        <w:numPr>
          <w:ilvl w:val="255"/>
          <w:numId w:val="0"/>
        </w:num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10、在不违反国家疫情防控政策前提下，中标供应商需全力配合首都博物馆的运输安排，不得有异议。</w:t>
      </w:r>
    </w:p>
    <w:p>
      <w:pPr>
        <w:pStyle w:val="2"/>
        <w:spacing w:line="360" w:lineRule="auto"/>
        <w:rPr>
          <w:rFonts w:ascii="仿宋_GB2312" w:hAnsi="仿宋_GB2312" w:eastAsia="仿宋_GB2312" w:cs="仿宋_GB2312"/>
          <w:szCs w:val="24"/>
        </w:rPr>
      </w:pPr>
      <w:r>
        <w:rPr>
          <w:rFonts w:hint="eastAsia" w:ascii="仿宋_GB2312" w:hAnsi="仿宋_GB2312" w:eastAsia="仿宋_GB2312" w:cs="仿宋_GB2312"/>
          <w:szCs w:val="24"/>
        </w:rPr>
        <w:t>11、供应商应提供点对点专程运输服务并提供相应承诺函，承诺内容应包括：在往返运输过程中，根据计划路线进行点对点专程运输。</w:t>
      </w:r>
    </w:p>
    <w:p>
      <w:pPr>
        <w:numPr>
          <w:ilvl w:val="255"/>
          <w:numId w:val="0"/>
        </w:numPr>
        <w:spacing w:line="360" w:lineRule="auto"/>
        <w:rPr>
          <w:rFonts w:ascii="仿宋_GB2312" w:hAnsi="仿宋_GB2312" w:eastAsia="仿宋_GB2312" w:cs="仿宋_GB2312"/>
          <w:b/>
          <w:bCs/>
          <w:sz w:val="24"/>
          <w:szCs w:val="24"/>
        </w:rPr>
      </w:pPr>
    </w:p>
    <w:p>
      <w:pPr>
        <w:numPr>
          <w:ilvl w:val="255"/>
          <w:numId w:val="0"/>
        </w:numPr>
        <w:spacing w:line="360" w:lineRule="auto"/>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*五、服务时间</w:t>
      </w:r>
    </w:p>
    <w:p>
      <w:pPr>
        <w:numPr>
          <w:ilvl w:val="255"/>
          <w:numId w:val="0"/>
        </w:numPr>
        <w:spacing w:line="360" w:lineRule="auto"/>
        <w:ind w:firstLine="482" w:firstLineChars="200"/>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本项目涉及的全部文物最迟调集至首都博物馆的时间为开展前15天；7月上旬（暂定）即开展前完成拆装和协助布展。</w:t>
      </w:r>
    </w:p>
    <w:p>
      <w:pPr>
        <w:numPr>
          <w:ilvl w:val="255"/>
          <w:numId w:val="0"/>
        </w:numPr>
        <w:spacing w:line="360" w:lineRule="auto"/>
        <w:ind w:firstLine="482" w:firstLineChars="200"/>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回程时间：外埠单位按照采购人要求，根据借展时间长短、当时路况和疫情管控情况确定，京内单位根据借展时间长短和借展单位要求确定。</w:t>
      </w:r>
    </w:p>
    <w:p>
      <w:pPr>
        <w:numPr>
          <w:ilvl w:val="255"/>
          <w:numId w:val="0"/>
        </w:numPr>
        <w:spacing w:line="360" w:lineRule="auto"/>
        <w:rPr>
          <w:rFonts w:ascii="仿宋_GB2312" w:hAnsi="仿宋_GB2312" w:eastAsia="仿宋_GB2312" w:cs="仿宋_GB2312"/>
          <w:sz w:val="24"/>
          <w:szCs w:val="24"/>
        </w:rPr>
      </w:pPr>
    </w:p>
    <w:p>
      <w:pPr>
        <w:numPr>
          <w:ilvl w:val="255"/>
          <w:numId w:val="0"/>
        </w:num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六、付款方式</w:t>
      </w:r>
    </w:p>
    <w:p>
      <w:pPr>
        <w:rPr>
          <w:rFonts w:ascii="仿宋_GB2312" w:hAnsi="仿宋_GB2312" w:eastAsia="仿宋_GB2312" w:cs="仿宋_GB2312"/>
          <w:sz w:val="24"/>
          <w:szCs w:val="24"/>
        </w:rPr>
      </w:pPr>
    </w:p>
    <w:p>
      <w:pPr>
        <w:widowControl/>
        <w:adjustRightInd w:val="0"/>
        <w:snapToGrid w:val="0"/>
        <w:spacing w:line="360" w:lineRule="auto"/>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1、供应商在合同签订后7个工作日内（不超过7个工作日）向采购人提交合同总金额 10% 的履约保证金。在合同规定内容全部履行完毕且无违约问题发生的前提下，采购人将在支付回程运输服务费的同时无息退还供应商履约保证金。如发生理赔事宜，采购人将在理赔工作全部结束后的7个工作日内无息退还供应商履约保证金。</w:t>
      </w:r>
    </w:p>
    <w:p>
      <w:pPr>
        <w:widowControl/>
        <w:adjustRightInd w:val="0"/>
        <w:snapToGrid w:val="0"/>
        <w:spacing w:line="360" w:lineRule="auto"/>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2、货物抵达采购人首都博物馆后15个工作日内，供应商提供正式发票，财政资金到位后，采购人将来程运输服务费支付予供应商。</w:t>
      </w:r>
    </w:p>
    <w:p>
      <w:pPr>
        <w:widowControl/>
        <w:adjustRightInd w:val="0"/>
        <w:snapToGrid w:val="0"/>
        <w:spacing w:line="360" w:lineRule="auto"/>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3、货物抵达展品所属方指定地点后15个工作日内，供应商提供正式发票，财政资金到位后，采购人将回程运输服务费支付予供应商。</w:t>
      </w:r>
      <w:r>
        <w:rPr>
          <w:rFonts w:hint="eastAsia" w:ascii="仿宋_GB2312" w:hAnsi="仿宋_GB2312" w:eastAsia="仿宋_GB2312" w:cs="仿宋_GB2312"/>
          <w:sz w:val="24"/>
          <w:szCs w:val="24"/>
        </w:rPr>
        <w:br w:type="page"/>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附件1：</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18家国内单位安全调集至首博（往返）。分别为宝鸡青铜器博物院、咸阳博物院、西安博物院、洛阳博物馆、中国社会科学院陶寺（山西侯马市复兴村）、安阳博物馆、中国社会科学院邺城考古队（河北邺城）、山西青铜博物馆、山西博物院、浙江省博物馆、辽宁省文物考古研究院、故宫博物院、中国营造学社纪念馆、清华大学档案馆、北京大学图书馆、中国国家图书馆、中国文化遗产研究院、北京市测绘院。</w:t>
      </w:r>
    </w:p>
    <w:p>
      <w:pPr>
        <w:pStyle w:val="16"/>
        <w:rPr>
          <w:rFonts w:ascii="仿宋_GB2312" w:hAnsi="仿宋_GB2312" w:eastAsia="仿宋_GB2312" w:cs="仿宋_GB2312"/>
          <w:sz w:val="24"/>
          <w:szCs w:val="24"/>
        </w:rPr>
      </w:pPr>
      <w:r>
        <w:rPr>
          <w:rFonts w:hint="eastAsia" w:ascii="仿宋_GB2312" w:hAnsi="仿宋_GB2312" w:eastAsia="仿宋_GB2312" w:cs="仿宋_GB2312"/>
          <w:sz w:val="24"/>
          <w:szCs w:val="24"/>
        </w:rPr>
        <w:t>（1）去程：</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外埠（按照采购人要求，根据当时路况和疫情管控情况确定）：</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线路一：</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宝鸡青铜器博物院--咸阳博物院--西安博物院--洛阳博物馆--中国社会科学院陶寺-安阳博物馆--中国社会科学院邺城考古队--山西青铜博物馆--山西博物院-首都博物馆</w:t>
      </w:r>
    </w:p>
    <w:p>
      <w:pPr>
        <w:numPr>
          <w:ilvl w:val="0"/>
          <w:numId w:val="6"/>
        </w:num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文物包装、协助点交</w:t>
      </w:r>
    </w:p>
    <w:p>
      <w:pPr>
        <w:numPr>
          <w:ilvl w:val="0"/>
          <w:numId w:val="6"/>
        </w:num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从各站点博物馆到首都博物馆运输及装卸车操作</w:t>
      </w:r>
    </w:p>
    <w:p>
      <w:pPr>
        <w:numPr>
          <w:ilvl w:val="0"/>
          <w:numId w:val="6"/>
        </w:num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协助在首都博物馆点交布展</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线路二：</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浙江省博物馆--首都博物馆</w:t>
      </w:r>
    </w:p>
    <w:p>
      <w:pPr>
        <w:numPr>
          <w:ilvl w:val="0"/>
          <w:numId w:val="7"/>
        </w:num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文物包装、协助点交</w:t>
      </w:r>
    </w:p>
    <w:p>
      <w:pPr>
        <w:numPr>
          <w:ilvl w:val="0"/>
          <w:numId w:val="7"/>
        </w:num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从浙江省博物馆到首都博物馆运输及装卸车操作</w:t>
      </w:r>
    </w:p>
    <w:p>
      <w:pPr>
        <w:numPr>
          <w:ilvl w:val="0"/>
          <w:numId w:val="7"/>
        </w:num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协助在首都博物馆点交布展</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线路三：</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辽宁省文物考古研究院--首都博物馆</w:t>
      </w:r>
    </w:p>
    <w:p>
      <w:pPr>
        <w:numPr>
          <w:ilvl w:val="0"/>
          <w:numId w:val="8"/>
        </w:num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文物包装、协助点交</w:t>
      </w:r>
    </w:p>
    <w:p>
      <w:pPr>
        <w:numPr>
          <w:ilvl w:val="0"/>
          <w:numId w:val="8"/>
        </w:num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从辽宁省文物考古研究院到首都博物馆运输及装卸车操作</w:t>
      </w:r>
    </w:p>
    <w:p>
      <w:pPr>
        <w:numPr>
          <w:ilvl w:val="0"/>
          <w:numId w:val="8"/>
        </w:num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协助在首都博物馆点交布展</w:t>
      </w:r>
    </w:p>
    <w:p>
      <w:pPr>
        <w:pStyle w:val="16"/>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京内（根据借展单位要求确定时间）：</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北京市内7家文物单位至首都博物馆</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（故宫博物院、中国营造学社纪念馆、清华大学档案馆、北京大学图书馆、中国国家图书馆、中国文化遗产研究院、北京市测绘院）</w:t>
      </w:r>
    </w:p>
    <w:p>
      <w:pPr>
        <w:numPr>
          <w:ilvl w:val="0"/>
          <w:numId w:val="9"/>
        </w:num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文物包装、协助点交</w:t>
      </w:r>
    </w:p>
    <w:p>
      <w:pPr>
        <w:numPr>
          <w:ilvl w:val="0"/>
          <w:numId w:val="9"/>
        </w:num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从各站点博物馆到首都博物馆运输及装卸车操作</w:t>
      </w:r>
    </w:p>
    <w:p>
      <w:pPr>
        <w:numPr>
          <w:ilvl w:val="0"/>
          <w:numId w:val="9"/>
        </w:num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协助在首都博物馆点交布展</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（2）回程：</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外埠（按照采购人要求，根据借展时间长短、当时路况和疫情管控情况确定）：</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线路一：首都博物馆--山西博物院--山西青铜博物馆--中国社会科学院邺城考古队--安阳博物馆--中国社会科学院陶寺--洛阳博物馆--西安博物院--咸阳博物院--宝鸡青铜器博物院</w:t>
      </w:r>
    </w:p>
    <w:p>
      <w:pPr>
        <w:numPr>
          <w:ilvl w:val="0"/>
          <w:numId w:val="10"/>
        </w:num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文物包装，协助点交撤展</w:t>
      </w:r>
    </w:p>
    <w:p>
      <w:pPr>
        <w:numPr>
          <w:ilvl w:val="0"/>
          <w:numId w:val="10"/>
        </w:num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从首都博物馆至各站点博物馆运输及装卸车操作</w:t>
      </w:r>
    </w:p>
    <w:p>
      <w:pPr>
        <w:numPr>
          <w:ilvl w:val="0"/>
          <w:numId w:val="10"/>
        </w:num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协助在各站点博物馆点交验收</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线路二：</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首都博物馆-浙江省博物馆</w:t>
      </w:r>
    </w:p>
    <w:p>
      <w:pPr>
        <w:numPr>
          <w:ilvl w:val="0"/>
          <w:numId w:val="11"/>
        </w:num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文物包装，协助点交撤展</w:t>
      </w:r>
    </w:p>
    <w:p>
      <w:pPr>
        <w:numPr>
          <w:ilvl w:val="0"/>
          <w:numId w:val="11"/>
        </w:num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从首都博物馆至浙江省博物馆运输及装卸车操作</w:t>
      </w:r>
    </w:p>
    <w:p>
      <w:pPr>
        <w:numPr>
          <w:ilvl w:val="0"/>
          <w:numId w:val="11"/>
        </w:num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协助在各站点博物馆点交验收</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线路三：</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首都博物馆-辽宁省文物考古研究院</w:t>
      </w:r>
    </w:p>
    <w:p>
      <w:pPr>
        <w:numPr>
          <w:ilvl w:val="0"/>
          <w:numId w:val="12"/>
        </w:num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文物包装，协助点交撤展</w:t>
      </w:r>
    </w:p>
    <w:p>
      <w:pPr>
        <w:numPr>
          <w:ilvl w:val="0"/>
          <w:numId w:val="12"/>
        </w:num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从首都博物馆至辽宁省文物考古研究院运输及装卸车操作</w:t>
      </w:r>
    </w:p>
    <w:p>
      <w:pPr>
        <w:numPr>
          <w:ilvl w:val="0"/>
          <w:numId w:val="12"/>
        </w:num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协助在各站点博物馆点交验收</w:t>
      </w:r>
    </w:p>
    <w:p>
      <w:pPr>
        <w:pStyle w:val="16"/>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京内（根据借展时间长短和借展单位要求确定）：</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首都博物馆--北京市内7家文物单位</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（故宫博物院、中国营造学社纪念馆、清华大学档案馆、北京大学图书馆、中国国家图书馆、中国文化遗产研究院、北京市测绘院）</w:t>
      </w:r>
    </w:p>
    <w:p>
      <w:pPr>
        <w:numPr>
          <w:ilvl w:val="0"/>
          <w:numId w:val="13"/>
        </w:num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文物包装，协助点交撤展</w:t>
      </w:r>
    </w:p>
    <w:p>
      <w:pPr>
        <w:numPr>
          <w:ilvl w:val="0"/>
          <w:numId w:val="13"/>
        </w:num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从首都博物馆至各站点博物馆运输及装卸车操作</w:t>
      </w:r>
    </w:p>
    <w:p>
      <w:pPr>
        <w:numPr>
          <w:ilvl w:val="0"/>
          <w:numId w:val="13"/>
        </w:num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协助在各站点博物馆点交验收</w:t>
      </w:r>
    </w:p>
    <w:p>
      <w:pPr>
        <w:numPr>
          <w:ilvl w:val="255"/>
          <w:numId w:val="0"/>
        </w:numPr>
        <w:spacing w:line="360" w:lineRule="auto"/>
        <w:rPr>
          <w:rFonts w:ascii="仿宋_GB2312" w:hAnsi="仿宋_GB2312" w:eastAsia="仿宋_GB2312" w:cs="仿宋_GB2312"/>
          <w:sz w:val="24"/>
          <w:szCs w:val="24"/>
        </w:rPr>
      </w:pPr>
    </w:p>
    <w:p>
      <w:pPr>
        <w:numPr>
          <w:ilvl w:val="255"/>
          <w:numId w:val="0"/>
        </w:numPr>
        <w:spacing w:line="360" w:lineRule="auto"/>
        <w:rPr>
          <w:rFonts w:ascii="仿宋_GB2312" w:hAnsi="仿宋_GB2312" w:eastAsia="仿宋_GB2312" w:cs="仿宋_GB2312"/>
          <w:sz w:val="24"/>
          <w:szCs w:val="24"/>
        </w:rPr>
      </w:pPr>
    </w:p>
    <w:p>
      <w:pPr>
        <w:numPr>
          <w:ilvl w:val="255"/>
          <w:numId w:val="0"/>
        </w:numPr>
        <w:spacing w:line="360" w:lineRule="auto"/>
        <w:rPr>
          <w:rFonts w:ascii="仿宋_GB2312" w:hAnsi="仿宋_GB2312" w:eastAsia="仿宋_GB2312" w:cs="仿宋_GB2312"/>
          <w:sz w:val="24"/>
          <w:szCs w:val="24"/>
        </w:rPr>
      </w:pPr>
    </w:p>
    <w:p>
      <w:pPr>
        <w:numPr>
          <w:ilvl w:val="255"/>
          <w:numId w:val="0"/>
        </w:num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附件2：</w:t>
      </w:r>
    </w:p>
    <w:tbl>
      <w:tblPr>
        <w:tblStyle w:val="44"/>
        <w:tblW w:w="853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538"/>
        <w:gridCol w:w="1603"/>
        <w:gridCol w:w="1557"/>
        <w:gridCol w:w="1618"/>
        <w:gridCol w:w="2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Align w:val="center"/>
          </w:tcPr>
          <w:p>
            <w:pPr>
              <w:jc w:val="cente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省市</w:t>
            </w:r>
          </w:p>
        </w:tc>
        <w:tc>
          <w:tcPr>
            <w:tcW w:w="538" w:type="dxa"/>
            <w:vAlign w:val="center"/>
          </w:tcPr>
          <w:p>
            <w:pPr>
              <w:jc w:val="cente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序号</w:t>
            </w:r>
          </w:p>
        </w:tc>
        <w:tc>
          <w:tcPr>
            <w:tcW w:w="1603" w:type="dxa"/>
            <w:vAlign w:val="center"/>
          </w:tcPr>
          <w:p>
            <w:pPr>
              <w:jc w:val="cente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名称</w:t>
            </w:r>
          </w:p>
        </w:tc>
        <w:tc>
          <w:tcPr>
            <w:tcW w:w="1557" w:type="dxa"/>
            <w:vAlign w:val="center"/>
          </w:tcPr>
          <w:p>
            <w:pPr>
              <w:jc w:val="cente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收藏单位</w:t>
            </w:r>
          </w:p>
        </w:tc>
        <w:tc>
          <w:tcPr>
            <w:tcW w:w="1618" w:type="dxa"/>
            <w:vAlign w:val="center"/>
          </w:tcPr>
          <w:p>
            <w:pPr>
              <w:jc w:val="cente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尺寸</w:t>
            </w:r>
          </w:p>
        </w:tc>
        <w:tc>
          <w:tcPr>
            <w:tcW w:w="2621" w:type="dxa"/>
            <w:vAlign w:val="center"/>
          </w:tcPr>
          <w:p>
            <w:pPr>
              <w:jc w:val="cente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restar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陕西省</w:t>
            </w: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何尊</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宝鸡青铜器博物院</w:t>
            </w:r>
          </w:p>
        </w:tc>
        <w:tc>
          <w:tcPr>
            <w:tcW w:w="1618"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shd w:val="clear" w:color="auto" w:fill="FFFFFF"/>
              </w:rPr>
              <w:t>高38.8厘米，口径28.8厘米，重14.6公斤</w:t>
            </w:r>
          </w:p>
        </w:tc>
        <w:tc>
          <w:tcPr>
            <w:tcW w:w="2621"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0" distR="0">
                  <wp:extent cx="564515" cy="770255"/>
                  <wp:effectExtent l="0" t="0" r="14605" b="6985"/>
                  <wp:docPr id="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71268" cy="7797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秦水神骑凤纹空心砖残块</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咸阳博物院</w:t>
            </w:r>
          </w:p>
        </w:tc>
        <w:tc>
          <w:tcPr>
            <w:tcW w:w="1618" w:type="dxa"/>
            <w:vAlign w:val="center"/>
          </w:tcPr>
          <w:p>
            <w:pPr>
              <w:jc w:val="center"/>
              <w:rPr>
                <w:rFonts w:ascii="仿宋_GB2312" w:hAnsi="仿宋_GB2312" w:eastAsia="仿宋_GB2312" w:cs="仿宋_GB2312"/>
                <w:sz w:val="24"/>
                <w:szCs w:val="24"/>
                <w:shd w:val="clear" w:color="auto" w:fill="FFFFFF"/>
              </w:rPr>
            </w:pPr>
            <w:r>
              <w:rPr>
                <w:rFonts w:hint="eastAsia" w:ascii="仿宋_GB2312" w:hAnsi="仿宋_GB2312" w:eastAsia="仿宋_GB2312" w:cs="仿宋_GB2312"/>
                <w:sz w:val="24"/>
                <w:szCs w:val="24"/>
              </w:rPr>
              <w:t>残长23.5,宽18,厚10</w:t>
            </w:r>
          </w:p>
        </w:tc>
        <w:tc>
          <w:tcPr>
            <w:tcW w:w="2621"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0" distR="0">
                  <wp:extent cx="1221105" cy="817245"/>
                  <wp:effectExtent l="0" t="0" r="13335" b="5715"/>
                  <wp:docPr id="1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1"/>
                          <pic:cNvPicPr>
                            <a:picLocks noChangeAspect="1"/>
                          </pic:cNvPicPr>
                        </pic:nvPicPr>
                        <pic:blipFill>
                          <a:blip r:embed="rId7" cstate="print"/>
                          <a:stretch>
                            <a:fillRect/>
                          </a:stretch>
                        </pic:blipFill>
                        <pic:spPr>
                          <a:xfrm>
                            <a:off x="0" y="0"/>
                            <a:ext cx="1221105" cy="8172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“与天毋极”瓦当</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西安博物院</w:t>
            </w:r>
          </w:p>
        </w:tc>
        <w:tc>
          <w:tcPr>
            <w:tcW w:w="1618"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直径17cm-18cm</w:t>
            </w:r>
          </w:p>
        </w:tc>
        <w:tc>
          <w:tcPr>
            <w:tcW w:w="2621"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0" distR="0">
                  <wp:extent cx="704850" cy="476250"/>
                  <wp:effectExtent l="0" t="0" r="11430" b="11430"/>
                  <wp:docPr id="11" name="图片 4" descr="丁3gwD84-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丁3gwD84-A-1"/>
                          <pic:cNvPicPr>
                            <a:picLocks noChangeAspect="1" noChangeArrowheads="1"/>
                          </pic:cNvPicPr>
                        </pic:nvPicPr>
                        <pic:blipFill>
                          <a:blip r:embed="rId8" cstate="print"/>
                          <a:srcRect/>
                          <a:stretch>
                            <a:fillRect/>
                          </a:stretch>
                        </pic:blipFill>
                        <pic:spPr>
                          <a:xfrm>
                            <a:off x="0" y="0"/>
                            <a:ext cx="704850" cy="47625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“与天无极”瓦当</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西安博物院</w:t>
            </w:r>
          </w:p>
        </w:tc>
        <w:tc>
          <w:tcPr>
            <w:tcW w:w="1618"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直径17cm-18cm</w:t>
            </w:r>
          </w:p>
        </w:tc>
        <w:tc>
          <w:tcPr>
            <w:tcW w:w="2621"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0" distR="0">
                  <wp:extent cx="714375" cy="762000"/>
                  <wp:effectExtent l="0" t="0" r="1905" b="0"/>
                  <wp:docPr id="13" name="图片 7" descr="丁3gwD372-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丁3gwD372-A-1"/>
                          <pic:cNvPicPr>
                            <a:picLocks noChangeAspect="1" noChangeArrowheads="1"/>
                          </pic:cNvPicPr>
                        </pic:nvPicPr>
                        <pic:blipFill>
                          <a:blip r:embed="rId9" cstate="print"/>
                          <a:srcRect/>
                          <a:stretch>
                            <a:fillRect/>
                          </a:stretch>
                        </pic:blipFill>
                        <pic:spPr>
                          <a:xfrm>
                            <a:off x="0" y="0"/>
                            <a:ext cx="714375" cy="76200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汉玄武纹瓦当</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西安博物院</w:t>
            </w:r>
          </w:p>
        </w:tc>
        <w:tc>
          <w:tcPr>
            <w:tcW w:w="1618"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直径17cm-18cm</w:t>
            </w:r>
          </w:p>
        </w:tc>
        <w:tc>
          <w:tcPr>
            <w:tcW w:w="2621"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0" distR="0">
                  <wp:extent cx="714375" cy="495300"/>
                  <wp:effectExtent l="0" t="0" r="1905" b="7620"/>
                  <wp:docPr id="15" name="图片 13" descr="丁3gwD262-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丁3gwD262-A-1"/>
                          <pic:cNvPicPr>
                            <a:picLocks noChangeAspect="1" noChangeArrowheads="1"/>
                          </pic:cNvPicPr>
                        </pic:nvPicPr>
                        <pic:blipFill>
                          <a:blip r:embed="rId10" cstate="print"/>
                          <a:srcRect/>
                          <a:stretch>
                            <a:fillRect/>
                          </a:stretch>
                        </pic:blipFill>
                        <pic:spPr>
                          <a:xfrm>
                            <a:off x="0" y="0"/>
                            <a:ext cx="714375" cy="49530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汉朱雀纹瓦当</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西安博物院</w:t>
            </w:r>
          </w:p>
        </w:tc>
        <w:tc>
          <w:tcPr>
            <w:tcW w:w="1618"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直径17cm-18cm</w:t>
            </w:r>
          </w:p>
        </w:tc>
        <w:tc>
          <w:tcPr>
            <w:tcW w:w="2621"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0" distR="0">
                  <wp:extent cx="581025" cy="609600"/>
                  <wp:effectExtent l="0" t="0" r="13335" b="0"/>
                  <wp:docPr id="17" name="图片 17" descr="丁3gwD260-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丁3gwD260-A-1"/>
                          <pic:cNvPicPr>
                            <a:picLocks noChangeAspect="1" noChangeArrowheads="1"/>
                          </pic:cNvPicPr>
                        </pic:nvPicPr>
                        <pic:blipFill>
                          <a:blip r:embed="rId11" cstate="print"/>
                          <a:srcRect/>
                          <a:stretch>
                            <a:fillRect/>
                          </a:stretch>
                        </pic:blipFill>
                        <pic:spPr>
                          <a:xfrm>
                            <a:off x="0" y="0"/>
                            <a:ext cx="581025" cy="60960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汉青龙纹瓦当</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西安博物院</w:t>
            </w:r>
          </w:p>
        </w:tc>
        <w:tc>
          <w:tcPr>
            <w:tcW w:w="1618"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直径17cm-18cm</w:t>
            </w:r>
          </w:p>
        </w:tc>
        <w:tc>
          <w:tcPr>
            <w:tcW w:w="2621"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0" distR="0">
                  <wp:extent cx="714375" cy="638175"/>
                  <wp:effectExtent l="0" t="0" r="1905" b="1905"/>
                  <wp:docPr id="19" name="图片 31" descr="丁3gwD266-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1" descr="丁3gwD266-A-1"/>
                          <pic:cNvPicPr>
                            <a:picLocks noChangeAspect="1" noChangeArrowheads="1"/>
                          </pic:cNvPicPr>
                        </pic:nvPicPr>
                        <pic:blipFill>
                          <a:blip r:embed="rId12" cstate="print"/>
                          <a:srcRect/>
                          <a:stretch>
                            <a:fillRect/>
                          </a:stretch>
                        </pic:blipFill>
                        <pic:spPr>
                          <a:xfrm>
                            <a:off x="0" y="0"/>
                            <a:ext cx="714375" cy="63817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汉白虎纹瓦当</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西安博物院</w:t>
            </w:r>
          </w:p>
        </w:tc>
        <w:tc>
          <w:tcPr>
            <w:tcW w:w="1618"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直径17cm-18cm</w:t>
            </w:r>
          </w:p>
        </w:tc>
        <w:tc>
          <w:tcPr>
            <w:tcW w:w="2621"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0" distR="0">
                  <wp:extent cx="704850" cy="723900"/>
                  <wp:effectExtent l="0" t="0" r="11430" b="7620"/>
                  <wp:docPr id="21" name="图片 29" descr="丁3gwD261-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9" descr="丁3gwD261-A-1"/>
                          <pic:cNvPicPr>
                            <a:picLocks noChangeAspect="1" noChangeArrowheads="1"/>
                          </pic:cNvPicPr>
                        </pic:nvPicPr>
                        <pic:blipFill>
                          <a:blip r:embed="rId13" cstate="print"/>
                          <a:srcRect/>
                          <a:stretch>
                            <a:fillRect/>
                          </a:stretch>
                        </pic:blipFill>
                        <pic:spPr>
                          <a:xfrm>
                            <a:off x="0" y="0"/>
                            <a:ext cx="704850" cy="72390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restar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山西省</w:t>
            </w: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土鼓</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山西青铜博物馆（隶属山西博物院）</w:t>
            </w:r>
          </w:p>
        </w:tc>
        <w:tc>
          <w:tcPr>
            <w:tcW w:w="1618"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长40cm</w:t>
            </w:r>
          </w:p>
        </w:tc>
        <w:tc>
          <w:tcPr>
            <w:tcW w:w="2621"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0" distR="0">
                  <wp:extent cx="822325" cy="622300"/>
                  <wp:effectExtent l="0" t="0" r="635" b="2540"/>
                  <wp:docPr id="2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34994" cy="631957"/>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玉圭</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山西博物院</w:t>
            </w:r>
          </w:p>
        </w:tc>
        <w:tc>
          <w:tcPr>
            <w:tcW w:w="1618"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长16.6厘米，刃宽5.1厘米，背宽4.3厘米</w:t>
            </w:r>
          </w:p>
        </w:tc>
        <w:tc>
          <w:tcPr>
            <w:tcW w:w="2621"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0" distR="0">
                  <wp:extent cx="533400" cy="716915"/>
                  <wp:effectExtent l="0" t="0" r="0" b="14605"/>
                  <wp:docPr id="25" name="图片 40" descr="/home/baixin/Desktop/SY.67-A-1.jpgSY.67-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0" descr="/home/baixin/Desktop/SY.67-A-1.jpgSY.67-A-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33898" cy="717699"/>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辽宁省</w:t>
            </w: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玉猪龙</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辽宁省文物考古研究院</w:t>
            </w:r>
          </w:p>
        </w:tc>
        <w:tc>
          <w:tcPr>
            <w:tcW w:w="1618"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高9.6、宽7.4、厚3厘米</w:t>
            </w:r>
          </w:p>
        </w:tc>
        <w:tc>
          <w:tcPr>
            <w:tcW w:w="2621" w:type="dxa"/>
            <w:vAlign w:val="center"/>
          </w:tcPr>
          <w:p>
            <w:pPr>
              <w:ind w:firstLine="48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0" distR="0">
                  <wp:extent cx="643890" cy="842645"/>
                  <wp:effectExtent l="0" t="0" r="11430" b="1079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50943" cy="851877"/>
                          </a:xfrm>
                          <a:prstGeom prst="rect">
                            <a:avLst/>
                          </a:prstGeom>
                          <a:noFill/>
                          <a:ln>
                            <a:noFill/>
                          </a:ln>
                        </pic:spPr>
                      </pic:pic>
                    </a:graphicData>
                  </a:graphic>
                </wp:inline>
              </w:drawing>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0" distR="0">
                  <wp:extent cx="1012825" cy="1792605"/>
                  <wp:effectExtent l="0" t="0" r="8255" b="571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12825" cy="17926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restar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河南省</w:t>
            </w: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bCs/>
                <w:sz w:val="24"/>
                <w:szCs w:val="24"/>
              </w:rPr>
              <w:t>灰陶盉</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bCs/>
                <w:sz w:val="24"/>
                <w:szCs w:val="24"/>
              </w:rPr>
              <w:t>洛阳博物馆</w:t>
            </w:r>
          </w:p>
        </w:tc>
        <w:tc>
          <w:tcPr>
            <w:tcW w:w="1618"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bCs/>
                <w:sz w:val="24"/>
                <w:szCs w:val="24"/>
              </w:rPr>
              <w:t>长16.5宽14高24.5</w:t>
            </w:r>
          </w:p>
        </w:tc>
        <w:tc>
          <w:tcPr>
            <w:tcW w:w="2621"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114300" distR="114300">
                  <wp:extent cx="890270" cy="1116965"/>
                  <wp:effectExtent l="0" t="0" r="8890" b="1079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18" cstate="print"/>
                          <a:stretch>
                            <a:fillRect/>
                          </a:stretch>
                        </pic:blipFill>
                        <pic:spPr>
                          <a:xfrm>
                            <a:off x="0" y="0"/>
                            <a:ext cx="890270" cy="11169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bCs/>
                <w:sz w:val="24"/>
                <w:szCs w:val="24"/>
              </w:rPr>
              <w:t>灰陶爵</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bCs/>
                <w:sz w:val="24"/>
                <w:szCs w:val="24"/>
              </w:rPr>
              <w:t>洛阳博物馆</w:t>
            </w:r>
          </w:p>
        </w:tc>
        <w:tc>
          <w:tcPr>
            <w:tcW w:w="1618"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bCs/>
                <w:sz w:val="24"/>
                <w:szCs w:val="24"/>
              </w:rPr>
              <w:t>长11.6宽7.7高18.2</w:t>
            </w:r>
          </w:p>
        </w:tc>
        <w:tc>
          <w:tcPr>
            <w:tcW w:w="2621" w:type="dxa"/>
            <w:vAlign w:val="center"/>
          </w:tcPr>
          <w:p>
            <w:pPr>
              <w:widowControl/>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114300" distR="114300">
                  <wp:extent cx="821690" cy="1266825"/>
                  <wp:effectExtent l="0" t="0" r="1270" b="13335"/>
                  <wp:docPr id="3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4"/>
                          <pic:cNvPicPr>
                            <a:picLocks noChangeAspect="1"/>
                          </pic:cNvPicPr>
                        </pic:nvPicPr>
                        <pic:blipFill>
                          <a:blip r:embed="rId19" cstate="print"/>
                          <a:stretch>
                            <a:fillRect/>
                          </a:stretch>
                        </pic:blipFill>
                        <pic:spPr>
                          <a:xfrm>
                            <a:off x="0" y="0"/>
                            <a:ext cx="821690" cy="1266825"/>
                          </a:xfrm>
                          <a:prstGeom prst="rect">
                            <a:avLst/>
                          </a:prstGeom>
                          <a:noFill/>
                          <a:ln>
                            <a:noFill/>
                          </a:ln>
                        </pic:spPr>
                      </pic:pic>
                    </a:graphicData>
                  </a:graphic>
                </wp:inline>
              </w:drawing>
            </w:r>
          </w:p>
          <w:p>
            <w:pPr>
              <w:widowControl/>
              <w:jc w:val="center"/>
              <w:rPr>
                <w:rFonts w:ascii="仿宋_GB2312" w:hAnsi="仿宋_GB2312" w:eastAsia="仿宋_GB2312" w:cs="仿宋_GB2312"/>
                <w:sz w:val="24"/>
                <w:szCs w:val="24"/>
              </w:rPr>
            </w:pPr>
          </w:p>
          <w:p>
            <w:pPr>
              <w:widowControl/>
              <w:jc w:val="center"/>
              <w:rPr>
                <w:rFonts w:ascii="仿宋_GB2312" w:hAnsi="仿宋_GB2312" w:eastAsia="仿宋_GB2312" w:cs="仿宋_GB2312"/>
                <w:sz w:val="24"/>
                <w:szCs w:val="24"/>
              </w:rPr>
            </w:pPr>
          </w:p>
          <w:p>
            <w:pPr>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bookmarkStart w:id="16" w:name="_Hlk98508179"/>
            <w:r>
              <w:rPr>
                <w:rFonts w:hint="eastAsia" w:ascii="仿宋_GB2312" w:hAnsi="仿宋_GB2312" w:eastAsia="仿宋_GB2312" w:cs="仿宋_GB2312"/>
                <w:sz w:val="24"/>
                <w:szCs w:val="24"/>
              </w:rPr>
              <w:t>莲花纹方砖</w:t>
            </w:r>
            <w:bookmarkEnd w:id="16"/>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洛阳博物馆</w:t>
            </w:r>
          </w:p>
        </w:tc>
        <w:tc>
          <w:tcPr>
            <w:tcW w:w="1618" w:type="dxa"/>
            <w:vAlign w:val="center"/>
          </w:tcPr>
          <w:p>
            <w:pPr>
              <w:jc w:val="center"/>
              <w:rPr>
                <w:rFonts w:ascii="仿宋_GB2312" w:hAnsi="仿宋_GB2312" w:eastAsia="仿宋_GB2312" w:cs="仿宋_GB2312"/>
                <w:sz w:val="24"/>
                <w:szCs w:val="24"/>
              </w:rPr>
            </w:pPr>
            <w:bookmarkStart w:id="17" w:name="_Hlk98508184"/>
            <w:r>
              <w:rPr>
                <w:rFonts w:hint="eastAsia" w:ascii="仿宋_GB2312" w:hAnsi="仿宋_GB2312" w:eastAsia="仿宋_GB2312" w:cs="仿宋_GB2312"/>
                <w:sz w:val="24"/>
                <w:szCs w:val="24"/>
              </w:rPr>
              <w:t>长37</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宽35.5</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厚6</w:t>
            </w:r>
            <w:bookmarkEnd w:id="17"/>
          </w:p>
        </w:tc>
        <w:tc>
          <w:tcPr>
            <w:tcW w:w="2621"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114300" distR="114300">
                  <wp:extent cx="859155" cy="617855"/>
                  <wp:effectExtent l="0" t="0" r="9525" b="6985"/>
                  <wp:docPr id="36" name="图片 1" descr="微信图片_2020111810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微信图片_20201118101031"/>
                          <pic:cNvPicPr>
                            <a:picLocks noChangeAspect="1"/>
                          </pic:cNvPicPr>
                        </pic:nvPicPr>
                        <pic:blipFill>
                          <a:blip r:embed="rId20" cstate="print"/>
                          <a:stretch>
                            <a:fillRect/>
                          </a:stretch>
                        </pic:blipFill>
                        <pic:spPr>
                          <a:xfrm>
                            <a:off x="0" y="0"/>
                            <a:ext cx="859155" cy="6178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bookmarkStart w:id="18" w:name="_Hlk98508212"/>
            <w:r>
              <w:rPr>
                <w:rFonts w:hint="eastAsia" w:ascii="仿宋_GB2312" w:hAnsi="仿宋_GB2312" w:eastAsia="仿宋_GB2312" w:cs="仿宋_GB2312"/>
                <w:sz w:val="24"/>
                <w:szCs w:val="24"/>
              </w:rPr>
              <w:t>双凤纹砖</w:t>
            </w:r>
            <w:bookmarkEnd w:id="18"/>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洛阳博物馆</w:t>
            </w:r>
          </w:p>
        </w:tc>
        <w:tc>
          <w:tcPr>
            <w:tcW w:w="1618" w:type="dxa"/>
            <w:vAlign w:val="center"/>
          </w:tcPr>
          <w:p>
            <w:pPr>
              <w:jc w:val="center"/>
              <w:rPr>
                <w:rFonts w:ascii="仿宋_GB2312" w:hAnsi="仿宋_GB2312" w:eastAsia="仿宋_GB2312" w:cs="仿宋_GB2312"/>
                <w:sz w:val="24"/>
                <w:szCs w:val="24"/>
              </w:rPr>
            </w:pPr>
            <w:bookmarkStart w:id="19" w:name="_Hlk98508217"/>
            <w:r>
              <w:rPr>
                <w:rFonts w:hint="eastAsia" w:ascii="仿宋_GB2312" w:hAnsi="仿宋_GB2312" w:eastAsia="仿宋_GB2312" w:cs="仿宋_GB2312"/>
                <w:sz w:val="24"/>
                <w:szCs w:val="24"/>
              </w:rPr>
              <w:t>边长37.7</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厚7.4</w:t>
            </w:r>
            <w:bookmarkEnd w:id="19"/>
          </w:p>
        </w:tc>
        <w:tc>
          <w:tcPr>
            <w:tcW w:w="2621"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114300" distR="114300">
                  <wp:extent cx="944245" cy="708660"/>
                  <wp:effectExtent l="0" t="0" r="635" b="7620"/>
                  <wp:docPr id="37" name="图片 2" descr="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4878"/>
                          <pic:cNvPicPr>
                            <a:picLocks noChangeAspect="1"/>
                          </pic:cNvPicPr>
                        </pic:nvPicPr>
                        <pic:blipFill>
                          <a:blip r:embed="rId21" cstate="print"/>
                          <a:stretch>
                            <a:fillRect/>
                          </a:stretch>
                        </pic:blipFill>
                        <pic:spPr>
                          <a:xfrm>
                            <a:off x="0" y="0"/>
                            <a:ext cx="944245" cy="7086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bookmarkStart w:id="20" w:name="_Hlk98508251"/>
            <w:r>
              <w:rPr>
                <w:rFonts w:hint="eastAsia" w:ascii="仿宋_GB2312" w:hAnsi="仿宋_GB2312" w:eastAsia="仿宋_GB2312" w:cs="仿宋_GB2312"/>
                <w:sz w:val="24"/>
                <w:szCs w:val="24"/>
              </w:rPr>
              <w:t>莲花纹瓦当及筒瓦</w:t>
            </w:r>
            <w:bookmarkEnd w:id="20"/>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洛阳博物馆</w:t>
            </w:r>
          </w:p>
        </w:tc>
        <w:tc>
          <w:tcPr>
            <w:tcW w:w="1618" w:type="dxa"/>
            <w:vAlign w:val="center"/>
          </w:tcPr>
          <w:p>
            <w:pPr>
              <w:jc w:val="center"/>
              <w:rPr>
                <w:rFonts w:ascii="仿宋_GB2312" w:hAnsi="仿宋_GB2312" w:eastAsia="仿宋_GB2312" w:cs="仿宋_GB2312"/>
                <w:sz w:val="24"/>
                <w:szCs w:val="24"/>
              </w:rPr>
            </w:pPr>
            <w:bookmarkStart w:id="21" w:name="_Hlk98508264"/>
            <w:r>
              <w:rPr>
                <w:rFonts w:hint="eastAsia" w:ascii="仿宋_GB2312" w:hAnsi="仿宋_GB2312" w:eastAsia="仿宋_GB2312" w:cs="仿宋_GB2312"/>
                <w:sz w:val="24"/>
                <w:szCs w:val="24"/>
              </w:rPr>
              <w:t>直径12</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长33</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厚1.6</w:t>
            </w:r>
            <w:bookmarkEnd w:id="21"/>
          </w:p>
        </w:tc>
        <w:tc>
          <w:tcPr>
            <w:tcW w:w="2621"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114300" distR="114300">
                  <wp:extent cx="842010" cy="908685"/>
                  <wp:effectExtent l="0" t="0" r="11430" b="5715"/>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22" cstate="print"/>
                          <a:stretch>
                            <a:fillRect/>
                          </a:stretch>
                        </pic:blipFill>
                        <pic:spPr>
                          <a:xfrm>
                            <a:off x="0" y="0"/>
                            <a:ext cx="842010" cy="9086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商子卜贞宾大乙龟甲卜辞残片</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安阳博物馆</w:t>
            </w:r>
          </w:p>
        </w:tc>
        <w:tc>
          <w:tcPr>
            <w:tcW w:w="1618"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残长2.62，残宽1.74，厚0.5</w:t>
            </w:r>
          </w:p>
        </w:tc>
        <w:tc>
          <w:tcPr>
            <w:tcW w:w="2621"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114300" distR="114300">
                  <wp:extent cx="693420" cy="482600"/>
                  <wp:effectExtent l="0" t="0" r="7620" b="508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23" cstate="print"/>
                          <a:stretch>
                            <a:fillRect/>
                          </a:stretch>
                        </pic:blipFill>
                        <pic:spPr>
                          <a:xfrm>
                            <a:off x="0" y="0"/>
                            <a:ext cx="708655" cy="492808"/>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浙江省</w:t>
            </w: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玉三叉形器</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浙江省博物馆</w:t>
            </w:r>
          </w:p>
        </w:tc>
        <w:tc>
          <w:tcPr>
            <w:tcW w:w="1618"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高5.2厘米，宽7.4厘米，厚1.3厘米</w:t>
            </w:r>
          </w:p>
        </w:tc>
        <w:tc>
          <w:tcPr>
            <w:tcW w:w="2621"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0" distR="0">
                  <wp:extent cx="582930" cy="485140"/>
                  <wp:effectExtent l="0" t="0" r="11430" b="2540"/>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3048" cy="4852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restar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河北省邺城</w:t>
            </w: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青石莲花柱础（邺南城宫城区出土青石莲花础石（现存宫城区发掘现场））</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中国社会科学院邺城考古队</w:t>
            </w:r>
          </w:p>
        </w:tc>
        <w:tc>
          <w:tcPr>
            <w:tcW w:w="1618"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方形底座宽112、通高约100厘米</w:t>
            </w:r>
          </w:p>
        </w:tc>
        <w:tc>
          <w:tcPr>
            <w:tcW w:w="2621"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0" distR="0">
                  <wp:extent cx="972185" cy="1017270"/>
                  <wp:effectExtent l="0" t="0" r="3175" b="3810"/>
                  <wp:docPr id="42" name="图片 4" descr="C:\Documents and Settings\Administrator\桌面\1251056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descr="C:\Documents and Settings\Administrator\桌面\1251056561.jpg"/>
                          <pic:cNvPicPr>
                            <a:picLocks noChangeAspect="1" noChangeArrowheads="1"/>
                          </pic:cNvPicPr>
                        </pic:nvPicPr>
                        <pic:blipFill>
                          <a:blip r:embed="rId25" cstate="print"/>
                          <a:srcRect l="13077" t="30417"/>
                          <a:stretch>
                            <a:fillRect/>
                          </a:stretch>
                        </pic:blipFill>
                        <pic:spPr>
                          <a:xfrm>
                            <a:off x="0" y="0"/>
                            <a:ext cx="972185" cy="1017686"/>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8" w:hRule="atLeast"/>
        </w:trPr>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青石螭首（铜雀台出土青石螭首（现存邺城博物馆展厅））</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中国社会科学院邺城考古队</w:t>
            </w:r>
          </w:p>
        </w:tc>
        <w:tc>
          <w:tcPr>
            <w:tcW w:w="1618"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通长192、宽厚约50厘米，螭首部分长1.04米</w:t>
            </w:r>
          </w:p>
        </w:tc>
        <w:tc>
          <w:tcPr>
            <w:tcW w:w="2621"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0" distR="0">
                  <wp:extent cx="1015365" cy="407035"/>
                  <wp:effectExtent l="0" t="0" r="5715" b="4445"/>
                  <wp:docPr id="46" name="图片 2" descr="C:\Documents and Settings\Administrator\桌面\1251056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descr="C:\Documents and Settings\Administrator\桌面\1251056561.jpg"/>
                          <pic:cNvPicPr>
                            <a:picLocks noChangeAspect="1" noChangeArrowheads="1"/>
                          </pic:cNvPicPr>
                        </pic:nvPicPr>
                        <pic:blipFill>
                          <a:blip r:embed="rId26" cstate="print"/>
                          <a:srcRect b="69231"/>
                          <a:stretch>
                            <a:fillRect/>
                          </a:stretch>
                        </pic:blipFill>
                        <pic:spPr>
                          <a:xfrm>
                            <a:off x="0" y="0"/>
                            <a:ext cx="1015529" cy="40748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widowControl/>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白石摩尼宝珠纹</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地砖（邺南城宫城区出土白石摩尼宝珠纹地砖（现存邺城考古队库房））</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中国社会科学院邺城考古队</w:t>
            </w:r>
          </w:p>
        </w:tc>
        <w:tc>
          <w:tcPr>
            <w:tcW w:w="1618"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宽42、厚10厘米左右</w:t>
            </w:r>
          </w:p>
        </w:tc>
        <w:tc>
          <w:tcPr>
            <w:tcW w:w="2621"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0" distR="0">
                  <wp:extent cx="798830" cy="817880"/>
                  <wp:effectExtent l="0" t="0" r="8890" b="5080"/>
                  <wp:docPr id="47" name="图片 1" descr="C:\Documents and Settings\Administrator\桌面\762826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descr="C:\Documents and Settings\Administrator\桌面\762826774.jpg"/>
                          <pic:cNvPicPr>
                            <a:picLocks noChangeAspect="1" noChangeArrowheads="1"/>
                          </pic:cNvPicPr>
                        </pic:nvPicPr>
                        <pic:blipFill>
                          <a:blip r:embed="rId27" cstate="print"/>
                          <a:srcRect/>
                          <a:stretch>
                            <a:fillRect/>
                          </a:stretch>
                        </pic:blipFill>
                        <pic:spPr>
                          <a:xfrm>
                            <a:off x="0" y="0"/>
                            <a:ext cx="799436" cy="81847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山西省</w:t>
            </w: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槷（音聂）表</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山西省侯马市复兴村</w:t>
            </w:r>
          </w:p>
        </w:tc>
        <w:tc>
          <w:tcPr>
            <w:tcW w:w="1618" w:type="dxa"/>
            <w:vAlign w:val="center"/>
          </w:tcPr>
          <w:p>
            <w:pPr>
              <w:jc w:val="center"/>
              <w:rPr>
                <w:rFonts w:ascii="仿宋_GB2312" w:hAnsi="仿宋_GB2312" w:eastAsia="仿宋_GB2312" w:cs="仿宋_GB2312"/>
                <w:sz w:val="24"/>
                <w:szCs w:val="24"/>
                <w:shd w:val="clear" w:color="auto" w:fill="FFFFFF"/>
              </w:rPr>
            </w:pPr>
            <w:r>
              <w:rPr>
                <w:rFonts w:hint="eastAsia" w:ascii="仿宋_GB2312" w:hAnsi="仿宋_GB2312" w:eastAsia="仿宋_GB2312" w:cs="仿宋_GB2312"/>
                <w:sz w:val="24"/>
                <w:szCs w:val="24"/>
              </w:rPr>
              <w:t>171.8cm</w:t>
            </w:r>
          </w:p>
        </w:tc>
        <w:tc>
          <w:tcPr>
            <w:tcW w:w="2621"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0" distR="0">
                  <wp:extent cx="514350" cy="1571625"/>
                  <wp:effectExtent l="0" t="0" r="3810" b="13335"/>
                  <wp:docPr id="4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14741" cy="1572866"/>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restar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北京</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（故宫博物院）</w:t>
            </w: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余士、吴钺合画徐显卿宦迹图册</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故宫博物院</w:t>
            </w:r>
          </w:p>
        </w:tc>
        <w:tc>
          <w:tcPr>
            <w:tcW w:w="1618"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shd w:val="clear" w:color="auto" w:fill="FFFFFF"/>
              </w:rPr>
              <w:t>现存26开，每开纵62厘米，横58.5厘米。</w:t>
            </w:r>
          </w:p>
        </w:tc>
        <w:tc>
          <w:tcPr>
            <w:tcW w:w="2621"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0" distR="0">
                  <wp:extent cx="898525" cy="598170"/>
                  <wp:effectExtent l="0" t="0" r="635" b="11430"/>
                  <wp:docPr id="5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1"/>
                          <pic:cNvPicPr>
                            <a:picLocks noChangeAspect="1"/>
                          </pic:cNvPicPr>
                        </pic:nvPicPr>
                        <pic:blipFill>
                          <a:blip r:embed="rId29" cstate="print"/>
                          <a:stretch>
                            <a:fillRect/>
                          </a:stretch>
                        </pic:blipFill>
                        <pic:spPr>
                          <a:xfrm>
                            <a:off x="0" y="0"/>
                            <a:ext cx="908439" cy="60461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京师生春意图</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故宫博物院</w:t>
            </w:r>
          </w:p>
        </w:tc>
        <w:tc>
          <w:tcPr>
            <w:tcW w:w="1618"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绢本，设色，纵256厘米，横233.5厘米。</w:t>
            </w:r>
          </w:p>
        </w:tc>
        <w:tc>
          <w:tcPr>
            <w:tcW w:w="2621"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0" distR="0">
                  <wp:extent cx="651510" cy="716280"/>
                  <wp:effectExtent l="0" t="0" r="3810" b="0"/>
                  <wp:docPr id="5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5"/>
                          <pic:cNvPicPr>
                            <a:picLocks noChangeAspect="1"/>
                          </pic:cNvPicPr>
                        </pic:nvPicPr>
                        <pic:blipFill>
                          <a:blip r:embed="rId30" cstate="print"/>
                          <a:stretch>
                            <a:fillRect/>
                          </a:stretch>
                        </pic:blipFill>
                        <pic:spPr>
                          <a:xfrm>
                            <a:off x="0" y="0"/>
                            <a:ext cx="663202" cy="72903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bCs/>
                <w:sz w:val="24"/>
                <w:szCs w:val="24"/>
              </w:rPr>
              <w:t>名笔集胜册——宋人仙山楼阁页</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故宫博物院</w:t>
            </w:r>
          </w:p>
        </w:tc>
        <w:tc>
          <w:tcPr>
            <w:tcW w:w="1618"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绢本，设色，纵23厘米，横23.4厘米。</w:t>
            </w:r>
          </w:p>
        </w:tc>
        <w:tc>
          <w:tcPr>
            <w:tcW w:w="2621"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0" distR="0">
                  <wp:extent cx="766445" cy="779145"/>
                  <wp:effectExtent l="0" t="0" r="10795" b="13335"/>
                  <wp:docPr id="5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9"/>
                          <pic:cNvPicPr>
                            <a:picLocks noChangeAspect="1"/>
                          </pic:cNvPicPr>
                        </pic:nvPicPr>
                        <pic:blipFill>
                          <a:blip r:embed="rId31" cstate="print"/>
                          <a:stretch>
                            <a:fillRect/>
                          </a:stretch>
                        </pic:blipFill>
                        <pic:spPr>
                          <a:xfrm>
                            <a:off x="0" y="0"/>
                            <a:ext cx="775986" cy="78883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烫样（借一两件展出）</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故宫博物院</w:t>
            </w:r>
          </w:p>
        </w:tc>
        <w:tc>
          <w:tcPr>
            <w:tcW w:w="1618" w:type="dxa"/>
            <w:vAlign w:val="center"/>
          </w:tcPr>
          <w:p>
            <w:pPr>
              <w:jc w:val="center"/>
              <w:rPr>
                <w:rFonts w:ascii="仿宋_GB2312" w:hAnsi="仿宋_GB2312" w:eastAsia="仿宋_GB2312" w:cs="仿宋_GB2312"/>
                <w:sz w:val="24"/>
                <w:szCs w:val="24"/>
              </w:rPr>
            </w:pPr>
          </w:p>
        </w:tc>
        <w:tc>
          <w:tcPr>
            <w:tcW w:w="2621" w:type="dxa"/>
            <w:vAlign w:val="center"/>
          </w:tcPr>
          <w:p>
            <w:pPr>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载湉（光绪皇帝）大婚典礼全图册</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故宫博物院</w:t>
            </w:r>
          </w:p>
        </w:tc>
        <w:tc>
          <w:tcPr>
            <w:tcW w:w="1618" w:type="dxa"/>
            <w:vAlign w:val="center"/>
          </w:tcPr>
          <w:p>
            <w:pPr>
              <w:jc w:val="center"/>
              <w:rPr>
                <w:rFonts w:ascii="仿宋_GB2312" w:hAnsi="仿宋_GB2312" w:eastAsia="仿宋_GB2312" w:cs="仿宋_GB2312"/>
                <w:sz w:val="24"/>
                <w:szCs w:val="24"/>
              </w:rPr>
            </w:pPr>
          </w:p>
        </w:tc>
        <w:tc>
          <w:tcPr>
            <w:tcW w:w="2621"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0" distR="0">
                  <wp:extent cx="1008380" cy="532765"/>
                  <wp:effectExtent l="0" t="0" r="12700" b="635"/>
                  <wp:docPr id="54"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3"/>
                          <pic:cNvPicPr>
                            <a:picLocks noChangeAspect="1"/>
                          </pic:cNvPicPr>
                        </pic:nvPicPr>
                        <pic:blipFill>
                          <a:blip r:embed="rId32" cstate="print"/>
                          <a:stretch>
                            <a:fillRect/>
                          </a:stretch>
                        </pic:blipFill>
                        <pic:spPr>
                          <a:xfrm>
                            <a:off x="0" y="0"/>
                            <a:ext cx="1031962" cy="54522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雍正帝祭先农坛图卷（图版）</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故宫博物院</w:t>
            </w:r>
          </w:p>
        </w:tc>
        <w:tc>
          <w:tcPr>
            <w:tcW w:w="1618"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绢本，设色，纵61.8厘米，横467.8厘米。</w:t>
            </w:r>
          </w:p>
        </w:tc>
        <w:tc>
          <w:tcPr>
            <w:tcW w:w="2621" w:type="dxa"/>
            <w:vAlign w:val="center"/>
          </w:tcPr>
          <w:p>
            <w:pPr>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佛库伦神轴</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故宫博物院</w:t>
            </w:r>
          </w:p>
        </w:tc>
        <w:tc>
          <w:tcPr>
            <w:tcW w:w="1618"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绢本设色，纵83厘米，横64厘米。</w:t>
            </w:r>
          </w:p>
        </w:tc>
        <w:tc>
          <w:tcPr>
            <w:tcW w:w="2621"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0" distR="0">
                  <wp:extent cx="882015" cy="901065"/>
                  <wp:effectExtent l="0" t="0" r="1905" b="13335"/>
                  <wp:docPr id="5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85434" cy="904247"/>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萨满祭祀神偶</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故宫博物院</w:t>
            </w:r>
          </w:p>
        </w:tc>
        <w:tc>
          <w:tcPr>
            <w:tcW w:w="1618" w:type="dxa"/>
            <w:vAlign w:val="center"/>
          </w:tcPr>
          <w:p>
            <w:pPr>
              <w:jc w:val="center"/>
              <w:rPr>
                <w:rFonts w:ascii="仿宋_GB2312" w:hAnsi="仿宋_GB2312" w:eastAsia="仿宋_GB2312" w:cs="仿宋_GB2312"/>
                <w:sz w:val="24"/>
                <w:szCs w:val="24"/>
              </w:rPr>
            </w:pPr>
          </w:p>
        </w:tc>
        <w:tc>
          <w:tcPr>
            <w:tcW w:w="2621"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114300" distR="114300">
                  <wp:extent cx="1221105" cy="965835"/>
                  <wp:effectExtent l="0" t="0" r="13335" b="9525"/>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34" cstate="print"/>
                          <a:stretch>
                            <a:fillRect/>
                          </a:stretch>
                        </pic:blipFill>
                        <pic:spPr>
                          <a:xfrm>
                            <a:off x="0" y="0"/>
                            <a:ext cx="1221105" cy="9658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门神年画</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故宫博物院</w:t>
            </w:r>
          </w:p>
        </w:tc>
        <w:tc>
          <w:tcPr>
            <w:tcW w:w="1618"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shd w:val="clear" w:color="auto" w:fill="FFFFFF"/>
              </w:rPr>
              <w:t>绢本，设色，纵143cm，横72cm？</w:t>
            </w:r>
          </w:p>
        </w:tc>
        <w:tc>
          <w:tcPr>
            <w:tcW w:w="2621"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0" distR="0">
                  <wp:extent cx="884555" cy="653415"/>
                  <wp:effectExtent l="0" t="0" r="14605" b="1905"/>
                  <wp:docPr id="5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0"/>
                          <pic:cNvPicPr>
                            <a:picLocks noChangeAspect="1"/>
                          </pic:cNvPicPr>
                        </pic:nvPicPr>
                        <pic:blipFill>
                          <a:blip r:embed="rId35" cstate="print"/>
                          <a:stretch>
                            <a:fillRect/>
                          </a:stretch>
                        </pic:blipFill>
                        <pic:spPr>
                          <a:xfrm>
                            <a:off x="0" y="0"/>
                            <a:ext cx="901341" cy="66553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restar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北京（营造学社）</w:t>
            </w: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人民英雄纪念碑设计资料</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中国营造学社纪念馆</w:t>
            </w:r>
          </w:p>
        </w:tc>
        <w:tc>
          <w:tcPr>
            <w:tcW w:w="1618" w:type="dxa"/>
            <w:vAlign w:val="center"/>
          </w:tcPr>
          <w:p>
            <w:pPr>
              <w:jc w:val="center"/>
              <w:rPr>
                <w:rFonts w:ascii="仿宋_GB2312" w:hAnsi="仿宋_GB2312" w:eastAsia="仿宋_GB2312" w:cs="仿宋_GB2312"/>
                <w:sz w:val="24"/>
                <w:szCs w:val="24"/>
                <w:shd w:val="clear" w:color="auto" w:fill="FFFFFF"/>
              </w:rPr>
            </w:pPr>
          </w:p>
        </w:tc>
        <w:tc>
          <w:tcPr>
            <w:tcW w:w="2621" w:type="dxa"/>
            <w:vAlign w:val="center"/>
          </w:tcPr>
          <w:p>
            <w:pPr>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人民英雄纪念碑北立面图</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中国营造学社纪念馆</w:t>
            </w:r>
          </w:p>
        </w:tc>
        <w:tc>
          <w:tcPr>
            <w:tcW w:w="1618" w:type="dxa"/>
            <w:vAlign w:val="center"/>
          </w:tcPr>
          <w:p>
            <w:pPr>
              <w:jc w:val="center"/>
              <w:rPr>
                <w:rFonts w:ascii="仿宋_GB2312" w:hAnsi="仿宋_GB2312" w:eastAsia="仿宋_GB2312" w:cs="仿宋_GB2312"/>
                <w:sz w:val="24"/>
                <w:szCs w:val="24"/>
                <w:shd w:val="clear" w:color="auto" w:fill="FFFFFF"/>
              </w:rPr>
            </w:pPr>
          </w:p>
        </w:tc>
        <w:tc>
          <w:tcPr>
            <w:tcW w:w="2621" w:type="dxa"/>
            <w:vAlign w:val="center"/>
          </w:tcPr>
          <w:p>
            <w:pPr>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人民英雄纪念碑平面图</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中国营造学社纪念馆</w:t>
            </w:r>
          </w:p>
        </w:tc>
        <w:tc>
          <w:tcPr>
            <w:tcW w:w="1618" w:type="dxa"/>
            <w:vAlign w:val="center"/>
          </w:tcPr>
          <w:p>
            <w:pPr>
              <w:jc w:val="center"/>
              <w:rPr>
                <w:rFonts w:ascii="仿宋_GB2312" w:hAnsi="仿宋_GB2312" w:eastAsia="仿宋_GB2312" w:cs="仿宋_GB2312"/>
                <w:sz w:val="24"/>
                <w:szCs w:val="24"/>
                <w:shd w:val="clear" w:color="auto" w:fill="FFFFFF"/>
              </w:rPr>
            </w:pPr>
          </w:p>
        </w:tc>
        <w:tc>
          <w:tcPr>
            <w:tcW w:w="2621" w:type="dxa"/>
            <w:vAlign w:val="center"/>
          </w:tcPr>
          <w:p>
            <w:pPr>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restar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北京（清华大学）</w:t>
            </w: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人民英雄纪念碑设计方案的建议</w:t>
            </w:r>
          </w:p>
        </w:tc>
        <w:tc>
          <w:tcPr>
            <w:tcW w:w="1557" w:type="dxa"/>
            <w:vAlign w:val="center"/>
          </w:tcPr>
          <w:p>
            <w:pPr>
              <w:jc w:val="center"/>
              <w:rPr>
                <w:rFonts w:ascii="仿宋_GB2312" w:hAnsi="仿宋_GB2312" w:eastAsia="仿宋_GB2312" w:cs="仿宋_GB2312"/>
                <w:sz w:val="24"/>
                <w:szCs w:val="24"/>
              </w:rPr>
            </w:pPr>
            <w:bookmarkStart w:id="22" w:name="_Hlk96943602"/>
            <w:r>
              <w:rPr>
                <w:rFonts w:hint="eastAsia" w:ascii="仿宋_GB2312" w:hAnsi="仿宋_GB2312" w:eastAsia="仿宋_GB2312" w:cs="仿宋_GB2312"/>
                <w:sz w:val="24"/>
                <w:szCs w:val="24"/>
              </w:rPr>
              <w:t>清华大学档案馆</w:t>
            </w:r>
            <w:bookmarkEnd w:id="22"/>
          </w:p>
        </w:tc>
        <w:tc>
          <w:tcPr>
            <w:tcW w:w="1618" w:type="dxa"/>
            <w:vAlign w:val="center"/>
          </w:tcPr>
          <w:p>
            <w:pPr>
              <w:jc w:val="center"/>
              <w:rPr>
                <w:rFonts w:ascii="仿宋_GB2312" w:hAnsi="仿宋_GB2312" w:eastAsia="仿宋_GB2312" w:cs="仿宋_GB2312"/>
                <w:sz w:val="24"/>
                <w:szCs w:val="24"/>
                <w:shd w:val="clear" w:color="auto" w:fill="FFFFFF"/>
              </w:rPr>
            </w:pPr>
          </w:p>
        </w:tc>
        <w:tc>
          <w:tcPr>
            <w:tcW w:w="2621" w:type="dxa"/>
            <w:vAlign w:val="center"/>
          </w:tcPr>
          <w:p>
            <w:pPr>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人民英雄纪念碑设计经过手稿</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清华大学档案馆</w:t>
            </w:r>
          </w:p>
        </w:tc>
        <w:tc>
          <w:tcPr>
            <w:tcW w:w="1618" w:type="dxa"/>
            <w:vAlign w:val="center"/>
          </w:tcPr>
          <w:p>
            <w:pPr>
              <w:jc w:val="center"/>
              <w:rPr>
                <w:rFonts w:ascii="仿宋_GB2312" w:hAnsi="仿宋_GB2312" w:eastAsia="仿宋_GB2312" w:cs="仿宋_GB2312"/>
                <w:sz w:val="24"/>
                <w:szCs w:val="24"/>
                <w:shd w:val="clear" w:color="auto" w:fill="FFFFFF"/>
              </w:rPr>
            </w:pPr>
          </w:p>
        </w:tc>
        <w:tc>
          <w:tcPr>
            <w:tcW w:w="2621" w:type="dxa"/>
            <w:vAlign w:val="center"/>
          </w:tcPr>
          <w:p>
            <w:pPr>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故宫太和殿南立面图，纵断面图等（五幅）</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清华大学</w:t>
            </w:r>
          </w:p>
        </w:tc>
        <w:tc>
          <w:tcPr>
            <w:tcW w:w="1618" w:type="dxa"/>
            <w:vAlign w:val="center"/>
          </w:tcPr>
          <w:p>
            <w:pPr>
              <w:jc w:val="center"/>
              <w:rPr>
                <w:rFonts w:ascii="仿宋_GB2312" w:hAnsi="仿宋_GB2312" w:eastAsia="仿宋_GB2312" w:cs="仿宋_GB2312"/>
                <w:sz w:val="24"/>
                <w:szCs w:val="24"/>
              </w:rPr>
            </w:pPr>
          </w:p>
        </w:tc>
        <w:tc>
          <w:tcPr>
            <w:tcW w:w="2621" w:type="dxa"/>
            <w:vAlign w:val="center"/>
          </w:tcPr>
          <w:p>
            <w:pPr>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北京（北京大学）</w:t>
            </w: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康熙《皇舆全览图》（北京城图）</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北京大学图书馆</w:t>
            </w:r>
          </w:p>
        </w:tc>
        <w:tc>
          <w:tcPr>
            <w:tcW w:w="1618" w:type="dxa"/>
            <w:vAlign w:val="center"/>
          </w:tcPr>
          <w:p>
            <w:pPr>
              <w:jc w:val="center"/>
              <w:rPr>
                <w:rFonts w:ascii="仿宋_GB2312" w:hAnsi="仿宋_GB2312" w:eastAsia="仿宋_GB2312" w:cs="仿宋_GB2312"/>
                <w:sz w:val="24"/>
                <w:szCs w:val="24"/>
                <w:shd w:val="clear" w:color="auto" w:fill="FFFFFF"/>
              </w:rPr>
            </w:pPr>
          </w:p>
        </w:tc>
        <w:tc>
          <w:tcPr>
            <w:tcW w:w="2621" w:type="dxa"/>
            <w:vAlign w:val="center"/>
          </w:tcPr>
          <w:p>
            <w:pPr>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restar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北京（国家图书馆）</w:t>
            </w: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首善全图【丰斋编制，清嘉庆年间（1796-1820）刻印本】</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中国国家图书馆</w:t>
            </w:r>
          </w:p>
        </w:tc>
        <w:tc>
          <w:tcPr>
            <w:tcW w:w="1618" w:type="dxa"/>
            <w:vAlign w:val="center"/>
          </w:tcPr>
          <w:p>
            <w:pPr>
              <w:jc w:val="center"/>
              <w:rPr>
                <w:rFonts w:ascii="仿宋_GB2312" w:hAnsi="仿宋_GB2312" w:eastAsia="仿宋_GB2312" w:cs="仿宋_GB2312"/>
                <w:sz w:val="24"/>
                <w:szCs w:val="24"/>
                <w:shd w:val="clear" w:color="auto" w:fill="FFFFFF"/>
              </w:rPr>
            </w:pPr>
            <w:r>
              <w:rPr>
                <w:rFonts w:hint="eastAsia" w:ascii="仿宋_GB2312" w:hAnsi="仿宋_GB2312" w:eastAsia="仿宋_GB2312" w:cs="仿宋_GB2312"/>
                <w:sz w:val="24"/>
                <w:szCs w:val="24"/>
              </w:rPr>
              <w:t>109 X 64厘米</w:t>
            </w:r>
          </w:p>
        </w:tc>
        <w:tc>
          <w:tcPr>
            <w:tcW w:w="2621"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114300" distR="114300">
                  <wp:extent cx="1220470" cy="2009775"/>
                  <wp:effectExtent l="0" t="0" r="13970" b="1905"/>
                  <wp:docPr id="58" name="图片 20" descr="首善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0" descr="首善全图"/>
                          <pic:cNvPicPr>
                            <a:picLocks noChangeAspect="1"/>
                          </pic:cNvPicPr>
                        </pic:nvPicPr>
                        <pic:blipFill>
                          <a:blip r:embed="rId36" cstate="print"/>
                          <a:stretch>
                            <a:fillRect/>
                          </a:stretch>
                        </pic:blipFill>
                        <pic:spPr>
                          <a:xfrm>
                            <a:off x="0" y="0"/>
                            <a:ext cx="1220470" cy="20097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北京地图（俄文）【1817 年出版】</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中国国家图书馆</w:t>
            </w:r>
          </w:p>
        </w:tc>
        <w:tc>
          <w:tcPr>
            <w:tcW w:w="1618"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93 X 105厘米</w:t>
            </w:r>
          </w:p>
        </w:tc>
        <w:tc>
          <w:tcPr>
            <w:tcW w:w="2621"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114300" distR="114300">
                  <wp:extent cx="1220470" cy="1492250"/>
                  <wp:effectExtent l="0" t="0" r="13970" b="1270"/>
                  <wp:docPr id="59" name="图片 29" descr="北京城区图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9" descr="北京城区图1817"/>
                          <pic:cNvPicPr>
                            <a:picLocks noChangeAspect="1"/>
                          </pic:cNvPicPr>
                        </pic:nvPicPr>
                        <pic:blipFill>
                          <a:blip r:embed="rId37" cstate="print"/>
                          <a:stretch>
                            <a:fillRect/>
                          </a:stretch>
                        </pic:blipFill>
                        <pic:spPr>
                          <a:xfrm>
                            <a:off x="0" y="0"/>
                            <a:ext cx="1220470" cy="1492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北京内外城全图【绢底彩绘，约绘于清道光二十五年（1845）】</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中国国家图书馆</w:t>
            </w:r>
          </w:p>
        </w:tc>
        <w:tc>
          <w:tcPr>
            <w:tcW w:w="1618"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240 X 180厘米</w:t>
            </w:r>
          </w:p>
        </w:tc>
        <w:tc>
          <w:tcPr>
            <w:tcW w:w="2621" w:type="dxa"/>
            <w:vAlign w:val="center"/>
          </w:tcPr>
          <w:p>
            <w:pPr>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Peking（北京）（英文版）【约绘于清光绪 1880 年至 1890 年绘本】</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中国国家图书馆</w:t>
            </w:r>
          </w:p>
        </w:tc>
        <w:tc>
          <w:tcPr>
            <w:tcW w:w="1618"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116 X 102厘米</w:t>
            </w:r>
          </w:p>
        </w:tc>
        <w:tc>
          <w:tcPr>
            <w:tcW w:w="2621" w:type="dxa"/>
            <w:vAlign w:val="center"/>
          </w:tcPr>
          <w:p>
            <w:pPr>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顺天府全图【赵宏绘，清光绪十二年（1886）刻印本】</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中国国家图书馆</w:t>
            </w:r>
          </w:p>
        </w:tc>
        <w:tc>
          <w:tcPr>
            <w:tcW w:w="1618"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shd w:val="clear" w:color="auto" w:fill="FFFFFF"/>
              </w:rPr>
              <w:t>1册，30 X 31厘米</w:t>
            </w:r>
          </w:p>
        </w:tc>
        <w:tc>
          <w:tcPr>
            <w:tcW w:w="2621" w:type="dxa"/>
            <w:vAlign w:val="center"/>
          </w:tcPr>
          <w:p>
            <w:pPr>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北京城郊地图【（德）驻扎天津测量部制，清光绪三十三年（1907）德国参谋处出版】</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中国国家图书馆</w:t>
            </w:r>
          </w:p>
        </w:tc>
        <w:tc>
          <w:tcPr>
            <w:tcW w:w="1618" w:type="dxa"/>
            <w:vAlign w:val="center"/>
          </w:tcPr>
          <w:p>
            <w:pPr>
              <w:jc w:val="center"/>
              <w:rPr>
                <w:rFonts w:ascii="仿宋_GB2312" w:hAnsi="仿宋_GB2312" w:eastAsia="仿宋_GB2312" w:cs="仿宋_GB2312"/>
                <w:sz w:val="24"/>
                <w:szCs w:val="24"/>
                <w:shd w:val="clear" w:color="auto" w:fill="FFFFFF"/>
              </w:rPr>
            </w:pPr>
            <w:r>
              <w:rPr>
                <w:rFonts w:hint="eastAsia" w:ascii="仿宋_GB2312" w:hAnsi="仿宋_GB2312" w:eastAsia="仿宋_GB2312" w:cs="仿宋_GB2312"/>
                <w:sz w:val="24"/>
                <w:szCs w:val="24"/>
              </w:rPr>
              <w:t>75 X 68厘米</w:t>
            </w:r>
          </w:p>
        </w:tc>
        <w:tc>
          <w:tcPr>
            <w:tcW w:w="2621" w:type="dxa"/>
            <w:vAlign w:val="center"/>
          </w:tcPr>
          <w:p>
            <w:pPr>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图档（中轴线相关建筑）</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中国国家图书馆</w:t>
            </w:r>
          </w:p>
        </w:tc>
        <w:tc>
          <w:tcPr>
            <w:tcW w:w="1618" w:type="dxa"/>
            <w:vAlign w:val="center"/>
          </w:tcPr>
          <w:p>
            <w:pPr>
              <w:jc w:val="center"/>
              <w:rPr>
                <w:rFonts w:ascii="仿宋_GB2312" w:hAnsi="仿宋_GB2312" w:eastAsia="仿宋_GB2312" w:cs="仿宋_GB2312"/>
                <w:sz w:val="24"/>
                <w:szCs w:val="24"/>
              </w:rPr>
            </w:pPr>
          </w:p>
        </w:tc>
        <w:tc>
          <w:tcPr>
            <w:tcW w:w="2621" w:type="dxa"/>
            <w:vAlign w:val="center"/>
          </w:tcPr>
          <w:p>
            <w:pPr>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太庙查工簿</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中国国家图书馆</w:t>
            </w:r>
          </w:p>
        </w:tc>
        <w:tc>
          <w:tcPr>
            <w:tcW w:w="1618"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29.6×41（平面打开后横向尺寸）cm</w:t>
            </w:r>
          </w:p>
        </w:tc>
        <w:tc>
          <w:tcPr>
            <w:tcW w:w="2621"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114300" distR="114300">
                  <wp:extent cx="1217930" cy="873760"/>
                  <wp:effectExtent l="0" t="0" r="1270" b="10160"/>
                  <wp:docPr id="60" name="图片 12" descr="太庙查工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descr="太庙查工簿"/>
                          <pic:cNvPicPr>
                            <a:picLocks noChangeAspect="1"/>
                          </pic:cNvPicPr>
                        </pic:nvPicPr>
                        <pic:blipFill>
                          <a:blip r:embed="rId38" cstate="print"/>
                          <a:stretch>
                            <a:fillRect/>
                          </a:stretch>
                        </pic:blipFill>
                        <pic:spPr>
                          <a:xfrm>
                            <a:off x="0" y="0"/>
                            <a:ext cx="1217930" cy="8737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最新北京精细全图【清宣统元年（1909）北京集成图书公司刻印本】</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中国国家图书馆</w:t>
            </w:r>
          </w:p>
        </w:tc>
        <w:tc>
          <w:tcPr>
            <w:tcW w:w="1618"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76 X 52厘米</w:t>
            </w:r>
          </w:p>
        </w:tc>
        <w:tc>
          <w:tcPr>
            <w:tcW w:w="2621" w:type="dxa"/>
            <w:vAlign w:val="center"/>
          </w:tcPr>
          <w:p>
            <w:pPr>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北京（中国文化遗产研究所）</w:t>
            </w: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基泰工程司测绘成果（中华门平面及五顶平面图、中华门正立面图、中华门侧立面图、中华门剖面图、中华门彩色图）</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中国文化遗产研究院</w:t>
            </w:r>
          </w:p>
        </w:tc>
        <w:tc>
          <w:tcPr>
            <w:tcW w:w="1618" w:type="dxa"/>
            <w:vAlign w:val="center"/>
          </w:tcPr>
          <w:p>
            <w:pPr>
              <w:jc w:val="center"/>
              <w:rPr>
                <w:rFonts w:ascii="仿宋_GB2312" w:hAnsi="仿宋_GB2312" w:eastAsia="仿宋_GB2312" w:cs="仿宋_GB2312"/>
                <w:sz w:val="24"/>
                <w:szCs w:val="24"/>
              </w:rPr>
            </w:pPr>
          </w:p>
        </w:tc>
        <w:tc>
          <w:tcPr>
            <w:tcW w:w="2621" w:type="dxa"/>
            <w:vAlign w:val="center"/>
          </w:tcPr>
          <w:p>
            <w:pPr>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restar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北京（测绘院）</w:t>
            </w: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新中国时期测绘成果</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北京市测绘院</w:t>
            </w:r>
          </w:p>
        </w:tc>
        <w:tc>
          <w:tcPr>
            <w:tcW w:w="1618" w:type="dxa"/>
            <w:vAlign w:val="center"/>
          </w:tcPr>
          <w:p>
            <w:pPr>
              <w:jc w:val="center"/>
              <w:rPr>
                <w:rFonts w:ascii="仿宋_GB2312" w:hAnsi="仿宋_GB2312" w:eastAsia="仿宋_GB2312" w:cs="仿宋_GB2312"/>
                <w:sz w:val="24"/>
                <w:szCs w:val="24"/>
              </w:rPr>
            </w:pPr>
          </w:p>
        </w:tc>
        <w:tc>
          <w:tcPr>
            <w:tcW w:w="2621" w:type="dxa"/>
            <w:vAlign w:val="center"/>
          </w:tcPr>
          <w:p>
            <w:pPr>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三次中轴线测绘工作相关资料（工作照、工作成果，例如图纸等）</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北京市测绘院</w:t>
            </w:r>
          </w:p>
        </w:tc>
        <w:tc>
          <w:tcPr>
            <w:tcW w:w="1618" w:type="dxa"/>
            <w:vAlign w:val="center"/>
          </w:tcPr>
          <w:p>
            <w:pPr>
              <w:jc w:val="center"/>
              <w:rPr>
                <w:rFonts w:ascii="仿宋_GB2312" w:hAnsi="仿宋_GB2312" w:eastAsia="仿宋_GB2312" w:cs="仿宋_GB2312"/>
                <w:sz w:val="24"/>
                <w:szCs w:val="24"/>
              </w:rPr>
            </w:pPr>
          </w:p>
        </w:tc>
        <w:tc>
          <w:tcPr>
            <w:tcW w:w="2621" w:type="dxa"/>
            <w:vAlign w:val="center"/>
          </w:tcPr>
          <w:p>
            <w:pPr>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sz w:val="24"/>
                <w:szCs w:val="24"/>
              </w:rPr>
            </w:pPr>
          </w:p>
        </w:tc>
        <w:tc>
          <w:tcPr>
            <w:tcW w:w="538" w:type="dxa"/>
            <w:vAlign w:val="center"/>
          </w:tcPr>
          <w:p>
            <w:pPr>
              <w:numPr>
                <w:ilvl w:val="0"/>
                <w:numId w:val="14"/>
              </w:numPr>
              <w:jc w:val="center"/>
              <w:rPr>
                <w:rFonts w:ascii="仿宋_GB2312" w:hAnsi="仿宋_GB2312" w:eastAsia="仿宋_GB2312" w:cs="仿宋_GB2312"/>
                <w:sz w:val="24"/>
                <w:szCs w:val="24"/>
              </w:rPr>
            </w:pPr>
          </w:p>
        </w:tc>
        <w:tc>
          <w:tcPr>
            <w:tcW w:w="1603"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2020年卫星图</w:t>
            </w:r>
          </w:p>
        </w:tc>
        <w:tc>
          <w:tcPr>
            <w:tcW w:w="1557"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北京市测绘院</w:t>
            </w:r>
          </w:p>
        </w:tc>
        <w:tc>
          <w:tcPr>
            <w:tcW w:w="1618" w:type="dxa"/>
            <w:vAlign w:val="center"/>
          </w:tcPr>
          <w:p>
            <w:pPr>
              <w:jc w:val="center"/>
              <w:rPr>
                <w:rFonts w:ascii="仿宋_GB2312" w:hAnsi="仿宋_GB2312" w:eastAsia="仿宋_GB2312" w:cs="仿宋_GB2312"/>
                <w:sz w:val="24"/>
                <w:szCs w:val="24"/>
              </w:rPr>
            </w:pPr>
          </w:p>
        </w:tc>
        <w:tc>
          <w:tcPr>
            <w:tcW w:w="2621" w:type="dxa"/>
            <w:vAlign w:val="center"/>
          </w:tcPr>
          <w:p>
            <w:pPr>
              <w:jc w:val="center"/>
              <w:rPr>
                <w:rFonts w:ascii="仿宋_GB2312" w:hAnsi="仿宋_GB2312" w:eastAsia="仿宋_GB2312" w:cs="仿宋_GB2312"/>
                <w:sz w:val="24"/>
                <w:szCs w:val="24"/>
              </w:rPr>
            </w:pPr>
          </w:p>
        </w:tc>
      </w:tr>
    </w:tbl>
    <w:p>
      <w:pPr>
        <w:numPr>
          <w:ilvl w:val="255"/>
          <w:numId w:val="0"/>
        </w:numPr>
        <w:spacing w:line="360" w:lineRule="auto"/>
        <w:rPr>
          <w:rFonts w:ascii="仿宋_GB2312" w:hAnsi="仿宋_GB2312" w:eastAsia="仿宋_GB2312" w:cs="仿宋_GB2312"/>
          <w:sz w:val="24"/>
          <w:szCs w:val="24"/>
        </w:rPr>
      </w:pPr>
    </w:p>
    <w:bookmarkEnd w:id="8"/>
    <w:bookmarkEnd w:id="9"/>
    <w:bookmarkEnd w:id="10"/>
    <w:bookmarkEnd w:id="11"/>
    <w:bookmarkEnd w:id="12"/>
    <w:bookmarkEnd w:id="13"/>
    <w:bookmarkEnd w:id="14"/>
    <w:bookmarkEnd w:id="15"/>
    <w:p>
      <w:pPr>
        <w:rPr>
          <w:rFonts w:ascii="仿宋_GB2312" w:hAnsi="仿宋_GB2312" w:eastAsia="仿宋_GB2312" w:cs="仿宋_GB2312"/>
          <w:sz w:val="24"/>
        </w:rPr>
      </w:pPr>
      <w:bookmarkStart w:id="23" w:name="_GoBack"/>
      <w:bookmarkEnd w:id="23"/>
    </w:p>
    <w:sectPr>
      <w:headerReference r:id="rId3" w:type="default"/>
      <w:footerReference r:id="rId4" w:type="default"/>
      <w:pgSz w:w="11906" w:h="16838"/>
      <w:pgMar w:top="1247" w:right="1587" w:bottom="1247" w:left="1587" w:header="850" w:footer="850"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Akzidenz Grotesk BQ">
    <w:altName w:val="新宋体"/>
    <w:panose1 w:val="00000000000000000000"/>
    <w:charset w:val="00"/>
    <w:family w:val="swiss"/>
    <w:pitch w:val="default"/>
    <w:sig w:usb0="00000000" w:usb1="00000000" w:usb2="00000010" w:usb3="00000000" w:csb0="00040001" w:csb1="00000000"/>
  </w:font>
  <w:font w:name="新宋体">
    <w:panose1 w:val="02010609030101010101"/>
    <w:charset w:val="86"/>
    <w:family w:val="auto"/>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pict>
        <v:shape id="文本框 8" o:spid="_x0000_s4097"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ah/j6x4CAAAcBAAADgAAAAAAAAAAAAAAAAAuAgAAZHJzL2Uyb0RvYy54bWxQSwECLQAUAAYA&#10;CAAAACEAcarRudcAAAAFAQAADwAAAAAAAAAAAAAAAAB4BAAAZHJzL2Rvd25yZXYueG1sUEsFBgAA&#10;AAAEAAQA8wAAAHwFAAAAAA==&#10;">
          <v:path/>
          <v:fill on="f" focussize="0,0"/>
          <v:stroke on="f" weight="0.5pt" joinstyle="miter"/>
          <v:imagedata o:title=""/>
          <o:lock v:ext="edit"/>
          <v:textbox inset="0mm,0mm,0mm,0mm" style="mso-fit-shape-to-text:t;">
            <w:txbxContent>
              <w:p>
                <w:pPr>
                  <w:pStyle w:val="26"/>
                </w:pPr>
                <w:r>
                  <w:fldChar w:fldCharType="begin"/>
                </w:r>
                <w:r>
                  <w:instrText xml:space="preserve"> PAGE  \* MERGEFORMAT </w:instrText>
                </w:r>
                <w:r>
                  <w:fldChar w:fldCharType="separate"/>
                </w:r>
                <w:r>
                  <w:t>28</w:t>
                </w:r>
                <w:r>
                  <w:fldChar w:fldCharType="end"/>
                </w:r>
              </w:p>
            </w:txbxContent>
          </v:textbox>
        </v:shape>
      </w:pict>
    </w:r>
  </w:p>
  <w:p>
    <w:pPr>
      <w:pStyle w:val="2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jc w:val="both"/>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3A10C0"/>
    <w:multiLevelType w:val="singleLevel"/>
    <w:tmpl w:val="893A10C0"/>
    <w:lvl w:ilvl="0" w:tentative="0">
      <w:start w:val="1"/>
      <w:numFmt w:val="decimal"/>
      <w:suff w:val="nothing"/>
      <w:lvlText w:val="%1）"/>
      <w:lvlJc w:val="left"/>
    </w:lvl>
  </w:abstractNum>
  <w:abstractNum w:abstractNumId="1">
    <w:nsid w:val="A05E1989"/>
    <w:multiLevelType w:val="singleLevel"/>
    <w:tmpl w:val="A05E1989"/>
    <w:lvl w:ilvl="0" w:tentative="0">
      <w:start w:val="3"/>
      <w:numFmt w:val="chineseCounting"/>
      <w:suff w:val="nothing"/>
      <w:lvlText w:val="%1、"/>
      <w:lvlJc w:val="left"/>
      <w:rPr>
        <w:rFonts w:hint="eastAsia"/>
      </w:rPr>
    </w:lvl>
  </w:abstractNum>
  <w:abstractNum w:abstractNumId="2">
    <w:nsid w:val="B165250F"/>
    <w:multiLevelType w:val="singleLevel"/>
    <w:tmpl w:val="B165250F"/>
    <w:lvl w:ilvl="0" w:tentative="0">
      <w:start w:val="1"/>
      <w:numFmt w:val="decimal"/>
      <w:suff w:val="nothing"/>
      <w:lvlText w:val="%1）"/>
      <w:lvlJc w:val="left"/>
    </w:lvl>
  </w:abstractNum>
  <w:abstractNum w:abstractNumId="3">
    <w:nsid w:val="E6F6D062"/>
    <w:multiLevelType w:val="singleLevel"/>
    <w:tmpl w:val="E6F6D062"/>
    <w:lvl w:ilvl="0" w:tentative="0">
      <w:start w:val="1"/>
      <w:numFmt w:val="decimal"/>
      <w:suff w:val="nothing"/>
      <w:lvlText w:val="%1）"/>
      <w:lvlJc w:val="left"/>
    </w:lvl>
  </w:abstractNum>
  <w:abstractNum w:abstractNumId="4">
    <w:nsid w:val="00000008"/>
    <w:multiLevelType w:val="multilevel"/>
    <w:tmpl w:val="00000008"/>
    <w:lvl w:ilvl="0" w:tentative="0">
      <w:start w:val="1"/>
      <w:numFmt w:val="decimal"/>
      <w:pStyle w:val="144"/>
      <w:lvlText w:val="(%1)"/>
      <w:lvlJc w:val="left"/>
      <w:pPr>
        <w:tabs>
          <w:tab w:val="left" w:pos="502"/>
        </w:tabs>
        <w:ind w:left="502" w:hanging="360"/>
      </w:pPr>
      <w:rPr>
        <w:rFonts w:hint="default"/>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5">
    <w:nsid w:val="03B44903"/>
    <w:multiLevelType w:val="singleLevel"/>
    <w:tmpl w:val="03B44903"/>
    <w:lvl w:ilvl="0" w:tentative="0">
      <w:start w:val="1"/>
      <w:numFmt w:val="decimal"/>
      <w:pStyle w:val="122"/>
      <w:lvlText w:val="%1."/>
      <w:lvlJc w:val="left"/>
      <w:pPr>
        <w:tabs>
          <w:tab w:val="left" w:pos="425"/>
        </w:tabs>
        <w:ind w:left="425" w:hanging="425"/>
      </w:pPr>
    </w:lvl>
  </w:abstractNum>
  <w:abstractNum w:abstractNumId="6">
    <w:nsid w:val="04E6EC84"/>
    <w:multiLevelType w:val="singleLevel"/>
    <w:tmpl w:val="04E6EC84"/>
    <w:lvl w:ilvl="0" w:tentative="0">
      <w:start w:val="1"/>
      <w:numFmt w:val="decimal"/>
      <w:suff w:val="nothing"/>
      <w:lvlText w:val="%1）"/>
      <w:lvlJc w:val="left"/>
    </w:lvl>
  </w:abstractNum>
  <w:abstractNum w:abstractNumId="7">
    <w:nsid w:val="186F2157"/>
    <w:multiLevelType w:val="multilevel"/>
    <w:tmpl w:val="186F215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8EF4730"/>
    <w:multiLevelType w:val="multilevel"/>
    <w:tmpl w:val="18EF4730"/>
    <w:lvl w:ilvl="0" w:tentative="0">
      <w:start w:val="2004"/>
      <w:numFmt w:val="bullet"/>
      <w:pStyle w:val="64"/>
      <w:lvlText w:val=""/>
      <w:lvlJc w:val="left"/>
      <w:pPr>
        <w:tabs>
          <w:tab w:val="left" w:pos="880"/>
        </w:tabs>
        <w:ind w:left="880" w:hanging="360"/>
      </w:pPr>
      <w:rPr>
        <w:rFonts w:hint="default" w:ascii="Wingdings" w:hAnsi="Wingdings" w:eastAsia="宋体" w:cs="Times New Roman"/>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2657086D"/>
    <w:multiLevelType w:val="multilevel"/>
    <w:tmpl w:val="2657086D"/>
    <w:lvl w:ilvl="0" w:tentative="0">
      <w:start w:val="1"/>
      <w:numFmt w:val="chineseCountingThousand"/>
      <w:pStyle w:val="41"/>
      <w:lvlText w:val="%1."/>
      <w:lvlJc w:val="left"/>
      <w:pPr>
        <w:tabs>
          <w:tab w:val="left" w:pos="360"/>
        </w:tabs>
        <w:ind w:left="0" w:firstLine="0"/>
      </w:pPr>
      <w:rPr>
        <w:rFonts w:hint="eastAsia" w:eastAsia="宋体"/>
      </w:rPr>
    </w:lvl>
    <w:lvl w:ilvl="1" w:tentative="0">
      <w:start w:val="1"/>
      <w:numFmt w:val="bullet"/>
      <w:lvlText w:val=""/>
      <w:lvlJc w:val="left"/>
      <w:pPr>
        <w:tabs>
          <w:tab w:val="left" w:pos="840"/>
        </w:tabs>
        <w:ind w:left="840" w:hanging="420"/>
      </w:pPr>
      <w:rPr>
        <w:rFonts w:hint="default" w:ascii="Wingdings" w:hAnsi="Wingdings"/>
      </w:rPr>
    </w:lvl>
    <w:lvl w:ilvl="2" w:tentative="0">
      <w:start w:val="3"/>
      <w:numFmt w:val="decimal"/>
      <w:lvlText w:val="%3、"/>
      <w:lvlJc w:val="left"/>
      <w:pPr>
        <w:tabs>
          <w:tab w:val="left" w:pos="1560"/>
        </w:tabs>
        <w:ind w:left="1560" w:hanging="720"/>
      </w:pPr>
      <w:rPr>
        <w:rFonts w:hint="eastAsia"/>
      </w:rPr>
    </w:lvl>
    <w:lvl w:ilvl="3" w:tentative="0">
      <w:start w:val="1"/>
      <w:numFmt w:val="decimal"/>
      <w:lvlText w:val="%4."/>
      <w:lvlJc w:val="left"/>
      <w:pPr>
        <w:tabs>
          <w:tab w:val="left" w:pos="1695"/>
        </w:tabs>
        <w:ind w:left="1695" w:hanging="435"/>
      </w:pPr>
      <w:rPr>
        <w:rFonts w:hint="eastAsia"/>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41815FC4"/>
    <w:multiLevelType w:val="singleLevel"/>
    <w:tmpl w:val="41815FC4"/>
    <w:lvl w:ilvl="0" w:tentative="0">
      <w:start w:val="1"/>
      <w:numFmt w:val="decimal"/>
      <w:suff w:val="nothing"/>
      <w:lvlText w:val="%1）"/>
      <w:lvlJc w:val="left"/>
    </w:lvl>
  </w:abstractNum>
  <w:abstractNum w:abstractNumId="11">
    <w:nsid w:val="467DAC5F"/>
    <w:multiLevelType w:val="singleLevel"/>
    <w:tmpl w:val="467DAC5F"/>
    <w:lvl w:ilvl="0" w:tentative="0">
      <w:start w:val="1"/>
      <w:numFmt w:val="decimal"/>
      <w:suff w:val="nothing"/>
      <w:lvlText w:val="%1）"/>
      <w:lvlJc w:val="left"/>
    </w:lvl>
  </w:abstractNum>
  <w:abstractNum w:abstractNumId="12">
    <w:nsid w:val="4C0FBCA8"/>
    <w:multiLevelType w:val="singleLevel"/>
    <w:tmpl w:val="4C0FBCA8"/>
    <w:lvl w:ilvl="0" w:tentative="0">
      <w:start w:val="1"/>
      <w:numFmt w:val="decimal"/>
      <w:suff w:val="nothing"/>
      <w:lvlText w:val="%1）"/>
      <w:lvlJc w:val="left"/>
    </w:lvl>
  </w:abstractNum>
  <w:abstractNum w:abstractNumId="13">
    <w:nsid w:val="5824C65A"/>
    <w:multiLevelType w:val="singleLevel"/>
    <w:tmpl w:val="5824C65A"/>
    <w:lvl w:ilvl="0" w:tentative="0">
      <w:start w:val="1"/>
      <w:numFmt w:val="decimal"/>
      <w:suff w:val="nothing"/>
      <w:lvlText w:val="%1）"/>
      <w:lvlJc w:val="left"/>
    </w:lvl>
  </w:abstractNum>
  <w:num w:numId="1">
    <w:abstractNumId w:val="9"/>
  </w:num>
  <w:num w:numId="2">
    <w:abstractNumId w:val="8"/>
  </w:num>
  <w:num w:numId="3">
    <w:abstractNumId w:val="5"/>
  </w:num>
  <w:num w:numId="4">
    <w:abstractNumId w:val="4"/>
  </w:num>
  <w:num w:numId="5">
    <w:abstractNumId w:val="1"/>
  </w:num>
  <w:num w:numId="6">
    <w:abstractNumId w:val="3"/>
  </w:num>
  <w:num w:numId="7">
    <w:abstractNumId w:val="11"/>
  </w:num>
  <w:num w:numId="8">
    <w:abstractNumId w:val="0"/>
  </w:num>
  <w:num w:numId="9">
    <w:abstractNumId w:val="10"/>
  </w:num>
  <w:num w:numId="10">
    <w:abstractNumId w:val="12"/>
  </w:num>
  <w:num w:numId="11">
    <w:abstractNumId w:val="2"/>
  </w:num>
  <w:num w:numId="12">
    <w:abstractNumId w:val="13"/>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gutterAtTop/>
  <w:trackRevisions w:val="1"/>
  <w:documentProtection w:enforcement="0"/>
  <w:defaultTabStop w:val="420"/>
  <w:drawingGridHorizontalSpacing w:val="210"/>
  <w:drawingGridVerticalSpacing w:val="-7946"/>
  <w:doNotShadeFormData w:val="1"/>
  <w:noPunctuationKerning w:val="1"/>
  <w:characterSpacingControl w:val="compressPunctuation"/>
  <w:doNotValidateAgainstSchema/>
  <w:doNotDemarcateInvalidXml/>
  <w:hdrShapeDefaults>
    <o:shapelayout v:ext="edit">
      <o:idmap v:ext="edit" data="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mM5YTAwZTk0OTUxYmMxNzQ3MWMwZjI2YjNlNGIzMjIifQ=="/>
  </w:docVars>
  <w:rsids>
    <w:rsidRoot w:val="00172A27"/>
    <w:rsid w:val="00013AF8"/>
    <w:rsid w:val="00072E43"/>
    <w:rsid w:val="0009615B"/>
    <w:rsid w:val="000969DC"/>
    <w:rsid w:val="000A1362"/>
    <w:rsid w:val="000B54A5"/>
    <w:rsid w:val="000D1A0E"/>
    <w:rsid w:val="000E0336"/>
    <w:rsid w:val="000E671B"/>
    <w:rsid w:val="0010154D"/>
    <w:rsid w:val="001062B2"/>
    <w:rsid w:val="00124BFF"/>
    <w:rsid w:val="001402A8"/>
    <w:rsid w:val="00146E8F"/>
    <w:rsid w:val="00161901"/>
    <w:rsid w:val="0017083B"/>
    <w:rsid w:val="00172A27"/>
    <w:rsid w:val="00182999"/>
    <w:rsid w:val="00196B1D"/>
    <w:rsid w:val="001A4EA7"/>
    <w:rsid w:val="001B57DF"/>
    <w:rsid w:val="001D0543"/>
    <w:rsid w:val="001F19F4"/>
    <w:rsid w:val="001F381C"/>
    <w:rsid w:val="001F64F9"/>
    <w:rsid w:val="00200AE4"/>
    <w:rsid w:val="0020384E"/>
    <w:rsid w:val="00205860"/>
    <w:rsid w:val="00205FB6"/>
    <w:rsid w:val="00217FB1"/>
    <w:rsid w:val="00232D27"/>
    <w:rsid w:val="002330CF"/>
    <w:rsid w:val="00234838"/>
    <w:rsid w:val="002379D6"/>
    <w:rsid w:val="00251770"/>
    <w:rsid w:val="00281F0D"/>
    <w:rsid w:val="00295176"/>
    <w:rsid w:val="002A496E"/>
    <w:rsid w:val="002B16FE"/>
    <w:rsid w:val="002B4838"/>
    <w:rsid w:val="002B5459"/>
    <w:rsid w:val="002C752B"/>
    <w:rsid w:val="002C7B24"/>
    <w:rsid w:val="002D1772"/>
    <w:rsid w:val="002E02C8"/>
    <w:rsid w:val="002E22CF"/>
    <w:rsid w:val="00320670"/>
    <w:rsid w:val="0033008E"/>
    <w:rsid w:val="003342DE"/>
    <w:rsid w:val="0034566F"/>
    <w:rsid w:val="00346E92"/>
    <w:rsid w:val="00350795"/>
    <w:rsid w:val="00360FB3"/>
    <w:rsid w:val="0036667E"/>
    <w:rsid w:val="003C028D"/>
    <w:rsid w:val="003C351D"/>
    <w:rsid w:val="003C680C"/>
    <w:rsid w:val="003D32AD"/>
    <w:rsid w:val="003E046D"/>
    <w:rsid w:val="00403CB9"/>
    <w:rsid w:val="004252E6"/>
    <w:rsid w:val="0043076B"/>
    <w:rsid w:val="00437CD0"/>
    <w:rsid w:val="00447A41"/>
    <w:rsid w:val="00477502"/>
    <w:rsid w:val="004815B4"/>
    <w:rsid w:val="00481CCE"/>
    <w:rsid w:val="00484CAA"/>
    <w:rsid w:val="00486132"/>
    <w:rsid w:val="00494684"/>
    <w:rsid w:val="004A35B1"/>
    <w:rsid w:val="004B0B1C"/>
    <w:rsid w:val="004B4EBD"/>
    <w:rsid w:val="004D0926"/>
    <w:rsid w:val="004E039A"/>
    <w:rsid w:val="004E59F5"/>
    <w:rsid w:val="00507308"/>
    <w:rsid w:val="005074D9"/>
    <w:rsid w:val="00514CD6"/>
    <w:rsid w:val="00516465"/>
    <w:rsid w:val="00536F33"/>
    <w:rsid w:val="005443CD"/>
    <w:rsid w:val="00570B99"/>
    <w:rsid w:val="00582FD1"/>
    <w:rsid w:val="00584238"/>
    <w:rsid w:val="00584653"/>
    <w:rsid w:val="00590A2E"/>
    <w:rsid w:val="00595BE8"/>
    <w:rsid w:val="005A11C4"/>
    <w:rsid w:val="005A69BA"/>
    <w:rsid w:val="005D0DA9"/>
    <w:rsid w:val="00616576"/>
    <w:rsid w:val="00617F8C"/>
    <w:rsid w:val="00626005"/>
    <w:rsid w:val="006412B6"/>
    <w:rsid w:val="006425A4"/>
    <w:rsid w:val="0064455E"/>
    <w:rsid w:val="00647979"/>
    <w:rsid w:val="00655160"/>
    <w:rsid w:val="00670B73"/>
    <w:rsid w:val="006A0182"/>
    <w:rsid w:val="006B5C18"/>
    <w:rsid w:val="006C0FB7"/>
    <w:rsid w:val="006D670A"/>
    <w:rsid w:val="006E0168"/>
    <w:rsid w:val="00701B16"/>
    <w:rsid w:val="007029AC"/>
    <w:rsid w:val="0070708C"/>
    <w:rsid w:val="00727F10"/>
    <w:rsid w:val="007312D3"/>
    <w:rsid w:val="007312DF"/>
    <w:rsid w:val="00731D7D"/>
    <w:rsid w:val="00742E23"/>
    <w:rsid w:val="007457A9"/>
    <w:rsid w:val="007470F1"/>
    <w:rsid w:val="00751905"/>
    <w:rsid w:val="007524D1"/>
    <w:rsid w:val="007A05B3"/>
    <w:rsid w:val="007C5BBA"/>
    <w:rsid w:val="007D5A12"/>
    <w:rsid w:val="007D7787"/>
    <w:rsid w:val="007E4A25"/>
    <w:rsid w:val="007F7C62"/>
    <w:rsid w:val="00803623"/>
    <w:rsid w:val="00820675"/>
    <w:rsid w:val="00824A41"/>
    <w:rsid w:val="008450C1"/>
    <w:rsid w:val="008561A4"/>
    <w:rsid w:val="0085657E"/>
    <w:rsid w:val="008607E1"/>
    <w:rsid w:val="00863887"/>
    <w:rsid w:val="00863D8C"/>
    <w:rsid w:val="00864DFB"/>
    <w:rsid w:val="00896235"/>
    <w:rsid w:val="008B3DD9"/>
    <w:rsid w:val="008C17B2"/>
    <w:rsid w:val="008E3E3F"/>
    <w:rsid w:val="008F3D6F"/>
    <w:rsid w:val="008F4B2F"/>
    <w:rsid w:val="009310FD"/>
    <w:rsid w:val="009336C0"/>
    <w:rsid w:val="00944C1A"/>
    <w:rsid w:val="00946CD1"/>
    <w:rsid w:val="009479D9"/>
    <w:rsid w:val="009737E2"/>
    <w:rsid w:val="0098167E"/>
    <w:rsid w:val="009824A3"/>
    <w:rsid w:val="009875CA"/>
    <w:rsid w:val="00995122"/>
    <w:rsid w:val="009C143E"/>
    <w:rsid w:val="009D6DEF"/>
    <w:rsid w:val="009E5EFB"/>
    <w:rsid w:val="009F2510"/>
    <w:rsid w:val="009F2A4D"/>
    <w:rsid w:val="00A23F6B"/>
    <w:rsid w:val="00A56637"/>
    <w:rsid w:val="00A56E1F"/>
    <w:rsid w:val="00A76984"/>
    <w:rsid w:val="00AA05E1"/>
    <w:rsid w:val="00AA23EE"/>
    <w:rsid w:val="00AB2A71"/>
    <w:rsid w:val="00AC7241"/>
    <w:rsid w:val="00AD7D36"/>
    <w:rsid w:val="00AE4DF6"/>
    <w:rsid w:val="00AF24DD"/>
    <w:rsid w:val="00B03BE7"/>
    <w:rsid w:val="00B0702B"/>
    <w:rsid w:val="00B243E2"/>
    <w:rsid w:val="00B26BB1"/>
    <w:rsid w:val="00B27BDC"/>
    <w:rsid w:val="00B320B7"/>
    <w:rsid w:val="00B42EF4"/>
    <w:rsid w:val="00B46F4F"/>
    <w:rsid w:val="00B657A4"/>
    <w:rsid w:val="00B718A0"/>
    <w:rsid w:val="00B75B82"/>
    <w:rsid w:val="00B77281"/>
    <w:rsid w:val="00BA0D32"/>
    <w:rsid w:val="00BC5E6F"/>
    <w:rsid w:val="00BF0F31"/>
    <w:rsid w:val="00BF72B1"/>
    <w:rsid w:val="00C0700B"/>
    <w:rsid w:val="00C12860"/>
    <w:rsid w:val="00C270B2"/>
    <w:rsid w:val="00C40651"/>
    <w:rsid w:val="00C67434"/>
    <w:rsid w:val="00C91E65"/>
    <w:rsid w:val="00CA0FD6"/>
    <w:rsid w:val="00CA4258"/>
    <w:rsid w:val="00CC6DFF"/>
    <w:rsid w:val="00CF083E"/>
    <w:rsid w:val="00D10B9F"/>
    <w:rsid w:val="00D12553"/>
    <w:rsid w:val="00D1270B"/>
    <w:rsid w:val="00D12D9E"/>
    <w:rsid w:val="00D40ECC"/>
    <w:rsid w:val="00D5292D"/>
    <w:rsid w:val="00D6232B"/>
    <w:rsid w:val="00D724A9"/>
    <w:rsid w:val="00D914DF"/>
    <w:rsid w:val="00DA06DC"/>
    <w:rsid w:val="00DA343E"/>
    <w:rsid w:val="00DD1AE8"/>
    <w:rsid w:val="00DD3FA8"/>
    <w:rsid w:val="00DE5886"/>
    <w:rsid w:val="00DE640F"/>
    <w:rsid w:val="00DF01F6"/>
    <w:rsid w:val="00DF669F"/>
    <w:rsid w:val="00DF79E5"/>
    <w:rsid w:val="00E041FD"/>
    <w:rsid w:val="00E21DFE"/>
    <w:rsid w:val="00E27D1E"/>
    <w:rsid w:val="00E32A01"/>
    <w:rsid w:val="00E350CE"/>
    <w:rsid w:val="00E41B6E"/>
    <w:rsid w:val="00E61BE3"/>
    <w:rsid w:val="00E73B88"/>
    <w:rsid w:val="00E74BA8"/>
    <w:rsid w:val="00E9221D"/>
    <w:rsid w:val="00E92236"/>
    <w:rsid w:val="00E9334B"/>
    <w:rsid w:val="00EA0149"/>
    <w:rsid w:val="00EA760C"/>
    <w:rsid w:val="00EB1017"/>
    <w:rsid w:val="00EB6DD8"/>
    <w:rsid w:val="00EB70FC"/>
    <w:rsid w:val="00EC143A"/>
    <w:rsid w:val="00ED361D"/>
    <w:rsid w:val="00EE03AA"/>
    <w:rsid w:val="00EE5762"/>
    <w:rsid w:val="00EF70E9"/>
    <w:rsid w:val="00F048C9"/>
    <w:rsid w:val="00F20BBD"/>
    <w:rsid w:val="00F23BA1"/>
    <w:rsid w:val="00F25D29"/>
    <w:rsid w:val="00F40156"/>
    <w:rsid w:val="00F505A8"/>
    <w:rsid w:val="00F54EC6"/>
    <w:rsid w:val="00F747AB"/>
    <w:rsid w:val="00F747D1"/>
    <w:rsid w:val="00FA73CF"/>
    <w:rsid w:val="00FD3F85"/>
    <w:rsid w:val="00FF0881"/>
    <w:rsid w:val="01326B1C"/>
    <w:rsid w:val="0133519F"/>
    <w:rsid w:val="01E96C2E"/>
    <w:rsid w:val="0252697B"/>
    <w:rsid w:val="02C43119"/>
    <w:rsid w:val="02EB37ED"/>
    <w:rsid w:val="032E5B18"/>
    <w:rsid w:val="03744B40"/>
    <w:rsid w:val="038469CC"/>
    <w:rsid w:val="03BE185C"/>
    <w:rsid w:val="04246559"/>
    <w:rsid w:val="04492F15"/>
    <w:rsid w:val="04AB2AF7"/>
    <w:rsid w:val="04E01320"/>
    <w:rsid w:val="051852FC"/>
    <w:rsid w:val="055B7792"/>
    <w:rsid w:val="056326BB"/>
    <w:rsid w:val="05B55818"/>
    <w:rsid w:val="0649045C"/>
    <w:rsid w:val="06565F58"/>
    <w:rsid w:val="06864766"/>
    <w:rsid w:val="06A168EC"/>
    <w:rsid w:val="06D10449"/>
    <w:rsid w:val="06F27CDB"/>
    <w:rsid w:val="06FA3A19"/>
    <w:rsid w:val="07102A3C"/>
    <w:rsid w:val="071F537C"/>
    <w:rsid w:val="077F1633"/>
    <w:rsid w:val="07C74E19"/>
    <w:rsid w:val="07EE658E"/>
    <w:rsid w:val="07F3748A"/>
    <w:rsid w:val="091266F1"/>
    <w:rsid w:val="09B74E58"/>
    <w:rsid w:val="09FC086D"/>
    <w:rsid w:val="0AB95588"/>
    <w:rsid w:val="0AD95317"/>
    <w:rsid w:val="0B03361E"/>
    <w:rsid w:val="0B09187C"/>
    <w:rsid w:val="0B0A0CAF"/>
    <w:rsid w:val="0B3A5699"/>
    <w:rsid w:val="0B517029"/>
    <w:rsid w:val="0B887700"/>
    <w:rsid w:val="0B991F50"/>
    <w:rsid w:val="0BBD04C2"/>
    <w:rsid w:val="0BC56CE3"/>
    <w:rsid w:val="0BC80366"/>
    <w:rsid w:val="0C1B40EA"/>
    <w:rsid w:val="0C5F2699"/>
    <w:rsid w:val="0C764E1D"/>
    <w:rsid w:val="0CB45859"/>
    <w:rsid w:val="0CDF6EEF"/>
    <w:rsid w:val="0D555318"/>
    <w:rsid w:val="0D822616"/>
    <w:rsid w:val="0E1023A7"/>
    <w:rsid w:val="0E46562E"/>
    <w:rsid w:val="0E4C5684"/>
    <w:rsid w:val="0E6C6D83"/>
    <w:rsid w:val="0E922575"/>
    <w:rsid w:val="0EA3719D"/>
    <w:rsid w:val="0EA53683"/>
    <w:rsid w:val="0EA76C97"/>
    <w:rsid w:val="0F02625A"/>
    <w:rsid w:val="0F1D3579"/>
    <w:rsid w:val="0F1D5AC9"/>
    <w:rsid w:val="0F6925D8"/>
    <w:rsid w:val="102C0118"/>
    <w:rsid w:val="10BF3B64"/>
    <w:rsid w:val="10EF7E56"/>
    <w:rsid w:val="11146D91"/>
    <w:rsid w:val="1180092C"/>
    <w:rsid w:val="11AC3A8C"/>
    <w:rsid w:val="11CF5473"/>
    <w:rsid w:val="11E406EB"/>
    <w:rsid w:val="120F4E5E"/>
    <w:rsid w:val="12130FC5"/>
    <w:rsid w:val="1228230C"/>
    <w:rsid w:val="125E66E4"/>
    <w:rsid w:val="1295376D"/>
    <w:rsid w:val="12FD7F36"/>
    <w:rsid w:val="13A011AE"/>
    <w:rsid w:val="13A07E66"/>
    <w:rsid w:val="13E55FA7"/>
    <w:rsid w:val="13FF6ECC"/>
    <w:rsid w:val="143409EE"/>
    <w:rsid w:val="14464901"/>
    <w:rsid w:val="149154CD"/>
    <w:rsid w:val="14A02B65"/>
    <w:rsid w:val="15507D3C"/>
    <w:rsid w:val="15536E33"/>
    <w:rsid w:val="156766B2"/>
    <w:rsid w:val="16204F9C"/>
    <w:rsid w:val="162368AF"/>
    <w:rsid w:val="164A731D"/>
    <w:rsid w:val="16633BBC"/>
    <w:rsid w:val="168B428F"/>
    <w:rsid w:val="16A078FF"/>
    <w:rsid w:val="16AE10F1"/>
    <w:rsid w:val="16FC3A57"/>
    <w:rsid w:val="176D19FF"/>
    <w:rsid w:val="179775F2"/>
    <w:rsid w:val="17A80401"/>
    <w:rsid w:val="17EA1C92"/>
    <w:rsid w:val="17FD7FE9"/>
    <w:rsid w:val="18191B17"/>
    <w:rsid w:val="188D655F"/>
    <w:rsid w:val="18CC57EB"/>
    <w:rsid w:val="18F42D4D"/>
    <w:rsid w:val="190A6EA1"/>
    <w:rsid w:val="1915614C"/>
    <w:rsid w:val="193A79F0"/>
    <w:rsid w:val="19407AC1"/>
    <w:rsid w:val="194761E1"/>
    <w:rsid w:val="196C5C41"/>
    <w:rsid w:val="197874D5"/>
    <w:rsid w:val="197A4670"/>
    <w:rsid w:val="19C831D3"/>
    <w:rsid w:val="1A053F7B"/>
    <w:rsid w:val="1A1B1635"/>
    <w:rsid w:val="1A2F7657"/>
    <w:rsid w:val="1A5E42D0"/>
    <w:rsid w:val="1A970DE5"/>
    <w:rsid w:val="1ABB7CCD"/>
    <w:rsid w:val="1AEE52D3"/>
    <w:rsid w:val="1B0E6672"/>
    <w:rsid w:val="1B1110E1"/>
    <w:rsid w:val="1B13286E"/>
    <w:rsid w:val="1B450EF3"/>
    <w:rsid w:val="1B45757A"/>
    <w:rsid w:val="1B515A7D"/>
    <w:rsid w:val="1B9F015F"/>
    <w:rsid w:val="1C27374C"/>
    <w:rsid w:val="1C517F83"/>
    <w:rsid w:val="1C5D1C3C"/>
    <w:rsid w:val="1CE974F2"/>
    <w:rsid w:val="1CF4428F"/>
    <w:rsid w:val="1D110328"/>
    <w:rsid w:val="1D214DD8"/>
    <w:rsid w:val="1D3C602E"/>
    <w:rsid w:val="1E14059F"/>
    <w:rsid w:val="1E150899"/>
    <w:rsid w:val="1E54298F"/>
    <w:rsid w:val="1E6B3AF5"/>
    <w:rsid w:val="1E84750B"/>
    <w:rsid w:val="1ED2479E"/>
    <w:rsid w:val="1F5F5687"/>
    <w:rsid w:val="1F680515"/>
    <w:rsid w:val="1FC112C6"/>
    <w:rsid w:val="1FED7C9C"/>
    <w:rsid w:val="2051065D"/>
    <w:rsid w:val="2096051C"/>
    <w:rsid w:val="212C7B53"/>
    <w:rsid w:val="214D396D"/>
    <w:rsid w:val="216507D3"/>
    <w:rsid w:val="21F92F33"/>
    <w:rsid w:val="22046BDF"/>
    <w:rsid w:val="222C6A9F"/>
    <w:rsid w:val="22565515"/>
    <w:rsid w:val="22755A1E"/>
    <w:rsid w:val="228F6690"/>
    <w:rsid w:val="22AF37F5"/>
    <w:rsid w:val="2321360F"/>
    <w:rsid w:val="23316176"/>
    <w:rsid w:val="235467D7"/>
    <w:rsid w:val="23A777BF"/>
    <w:rsid w:val="2401349F"/>
    <w:rsid w:val="24F640B7"/>
    <w:rsid w:val="25267806"/>
    <w:rsid w:val="257265E7"/>
    <w:rsid w:val="25743484"/>
    <w:rsid w:val="25C85FF9"/>
    <w:rsid w:val="25F954DB"/>
    <w:rsid w:val="26193812"/>
    <w:rsid w:val="261E66A8"/>
    <w:rsid w:val="262678B5"/>
    <w:rsid w:val="26304DFC"/>
    <w:rsid w:val="266F2F1B"/>
    <w:rsid w:val="269D57AD"/>
    <w:rsid w:val="26C86E2D"/>
    <w:rsid w:val="26DE321A"/>
    <w:rsid w:val="27051A1C"/>
    <w:rsid w:val="272207A9"/>
    <w:rsid w:val="27A24C8C"/>
    <w:rsid w:val="27B91C39"/>
    <w:rsid w:val="27EE45A2"/>
    <w:rsid w:val="27F61A9E"/>
    <w:rsid w:val="28114E40"/>
    <w:rsid w:val="284A2313"/>
    <w:rsid w:val="2874236C"/>
    <w:rsid w:val="289F28C5"/>
    <w:rsid w:val="28C63D9A"/>
    <w:rsid w:val="28CC4FED"/>
    <w:rsid w:val="29362E8F"/>
    <w:rsid w:val="2970130A"/>
    <w:rsid w:val="29DF3951"/>
    <w:rsid w:val="29F53A3D"/>
    <w:rsid w:val="2A637CA7"/>
    <w:rsid w:val="2A6E122D"/>
    <w:rsid w:val="2B1313C3"/>
    <w:rsid w:val="2B1B75D8"/>
    <w:rsid w:val="2B5454F9"/>
    <w:rsid w:val="2BBC41F4"/>
    <w:rsid w:val="2BC924DB"/>
    <w:rsid w:val="2C13735F"/>
    <w:rsid w:val="2C1B5FE9"/>
    <w:rsid w:val="2C1D4A63"/>
    <w:rsid w:val="2C2168F6"/>
    <w:rsid w:val="2CEA09F6"/>
    <w:rsid w:val="2D4C6E88"/>
    <w:rsid w:val="2D50777B"/>
    <w:rsid w:val="2D5147E9"/>
    <w:rsid w:val="2DB10FF2"/>
    <w:rsid w:val="2DC61D56"/>
    <w:rsid w:val="2E245609"/>
    <w:rsid w:val="2E247FC2"/>
    <w:rsid w:val="2E56250D"/>
    <w:rsid w:val="2EC44488"/>
    <w:rsid w:val="2ED8336B"/>
    <w:rsid w:val="2EF4010D"/>
    <w:rsid w:val="2F6544CE"/>
    <w:rsid w:val="2F9724A4"/>
    <w:rsid w:val="2FBB42FC"/>
    <w:rsid w:val="307220F9"/>
    <w:rsid w:val="3085186C"/>
    <w:rsid w:val="30871DAD"/>
    <w:rsid w:val="309D4AD8"/>
    <w:rsid w:val="30A722E1"/>
    <w:rsid w:val="30DA5FB3"/>
    <w:rsid w:val="30ED46AC"/>
    <w:rsid w:val="30FA0A66"/>
    <w:rsid w:val="31341DBE"/>
    <w:rsid w:val="313F4739"/>
    <w:rsid w:val="314D2A6F"/>
    <w:rsid w:val="31A124F9"/>
    <w:rsid w:val="31BC0B24"/>
    <w:rsid w:val="31D33B2A"/>
    <w:rsid w:val="32132199"/>
    <w:rsid w:val="32AD51A6"/>
    <w:rsid w:val="32C4783F"/>
    <w:rsid w:val="32D63C1D"/>
    <w:rsid w:val="33005939"/>
    <w:rsid w:val="333B009C"/>
    <w:rsid w:val="33471930"/>
    <w:rsid w:val="334B7980"/>
    <w:rsid w:val="33666C1A"/>
    <w:rsid w:val="33A928CE"/>
    <w:rsid w:val="33C137F8"/>
    <w:rsid w:val="33C4477D"/>
    <w:rsid w:val="33D05338"/>
    <w:rsid w:val="34336FAF"/>
    <w:rsid w:val="34516008"/>
    <w:rsid w:val="34666505"/>
    <w:rsid w:val="347436ED"/>
    <w:rsid w:val="34DC77C8"/>
    <w:rsid w:val="34FD35C3"/>
    <w:rsid w:val="350B6C92"/>
    <w:rsid w:val="350E58F0"/>
    <w:rsid w:val="35366BDD"/>
    <w:rsid w:val="353A5F70"/>
    <w:rsid w:val="35487054"/>
    <w:rsid w:val="362510FE"/>
    <w:rsid w:val="36367C0D"/>
    <w:rsid w:val="365C0D27"/>
    <w:rsid w:val="36777018"/>
    <w:rsid w:val="36A94597"/>
    <w:rsid w:val="36CA538C"/>
    <w:rsid w:val="372A0AD7"/>
    <w:rsid w:val="379F0983"/>
    <w:rsid w:val="37A44758"/>
    <w:rsid w:val="37BB437D"/>
    <w:rsid w:val="3839223A"/>
    <w:rsid w:val="387C327F"/>
    <w:rsid w:val="387E2AC7"/>
    <w:rsid w:val="38A773AB"/>
    <w:rsid w:val="39234030"/>
    <w:rsid w:val="39280B77"/>
    <w:rsid w:val="396B270E"/>
    <w:rsid w:val="39A31C9F"/>
    <w:rsid w:val="39ED3ACF"/>
    <w:rsid w:val="3A346314"/>
    <w:rsid w:val="3A531BA9"/>
    <w:rsid w:val="3A684EE0"/>
    <w:rsid w:val="3A847896"/>
    <w:rsid w:val="3A965A45"/>
    <w:rsid w:val="3ACC329D"/>
    <w:rsid w:val="3B1E59BD"/>
    <w:rsid w:val="3B6A56F7"/>
    <w:rsid w:val="3B6C748D"/>
    <w:rsid w:val="3B93699E"/>
    <w:rsid w:val="3BCD713C"/>
    <w:rsid w:val="3BDB6800"/>
    <w:rsid w:val="3C4F2D46"/>
    <w:rsid w:val="3C5D17C4"/>
    <w:rsid w:val="3C75753F"/>
    <w:rsid w:val="3C8074B9"/>
    <w:rsid w:val="3CDF1734"/>
    <w:rsid w:val="3CEE3985"/>
    <w:rsid w:val="3D717DB4"/>
    <w:rsid w:val="3DEF0FAA"/>
    <w:rsid w:val="3E054A20"/>
    <w:rsid w:val="3E3B14AB"/>
    <w:rsid w:val="3E3B7489"/>
    <w:rsid w:val="3E3D6B2B"/>
    <w:rsid w:val="3E453F37"/>
    <w:rsid w:val="3E67760F"/>
    <w:rsid w:val="3E6853F0"/>
    <w:rsid w:val="3E863754"/>
    <w:rsid w:val="3EBE037D"/>
    <w:rsid w:val="3EC76A8F"/>
    <w:rsid w:val="3ECE0372"/>
    <w:rsid w:val="3F4725AC"/>
    <w:rsid w:val="3FFF71F2"/>
    <w:rsid w:val="403149DC"/>
    <w:rsid w:val="40667434"/>
    <w:rsid w:val="40961781"/>
    <w:rsid w:val="40D574B6"/>
    <w:rsid w:val="40DB6132"/>
    <w:rsid w:val="40F54BA3"/>
    <w:rsid w:val="410E6949"/>
    <w:rsid w:val="412A3704"/>
    <w:rsid w:val="412C1E75"/>
    <w:rsid w:val="415E1758"/>
    <w:rsid w:val="41DC2F5D"/>
    <w:rsid w:val="41F540E1"/>
    <w:rsid w:val="42314073"/>
    <w:rsid w:val="42AF1F3A"/>
    <w:rsid w:val="42CC53F2"/>
    <w:rsid w:val="42FF70F8"/>
    <w:rsid w:val="432F4189"/>
    <w:rsid w:val="436241CB"/>
    <w:rsid w:val="43B63024"/>
    <w:rsid w:val="443F7874"/>
    <w:rsid w:val="449F4068"/>
    <w:rsid w:val="44C147DB"/>
    <w:rsid w:val="44DE6298"/>
    <w:rsid w:val="450F7AD2"/>
    <w:rsid w:val="45154265"/>
    <w:rsid w:val="45355715"/>
    <w:rsid w:val="461807CF"/>
    <w:rsid w:val="46267925"/>
    <w:rsid w:val="465626D6"/>
    <w:rsid w:val="4670321D"/>
    <w:rsid w:val="46B6099A"/>
    <w:rsid w:val="46BC369C"/>
    <w:rsid w:val="46C563C5"/>
    <w:rsid w:val="46D973C9"/>
    <w:rsid w:val="46F57441"/>
    <w:rsid w:val="47040343"/>
    <w:rsid w:val="470650BB"/>
    <w:rsid w:val="47596A1D"/>
    <w:rsid w:val="476F5139"/>
    <w:rsid w:val="483D77C2"/>
    <w:rsid w:val="487657D3"/>
    <w:rsid w:val="493E0CCB"/>
    <w:rsid w:val="494574C2"/>
    <w:rsid w:val="4955614B"/>
    <w:rsid w:val="497B6FF2"/>
    <w:rsid w:val="49894443"/>
    <w:rsid w:val="49AD5BED"/>
    <w:rsid w:val="49DA2C5A"/>
    <w:rsid w:val="49F266E1"/>
    <w:rsid w:val="4A6D27A8"/>
    <w:rsid w:val="4A78778F"/>
    <w:rsid w:val="4AA71688"/>
    <w:rsid w:val="4AC544BB"/>
    <w:rsid w:val="4ADF59F6"/>
    <w:rsid w:val="4AEB2EAC"/>
    <w:rsid w:val="4B1A6144"/>
    <w:rsid w:val="4B26325B"/>
    <w:rsid w:val="4B48598E"/>
    <w:rsid w:val="4B6363E0"/>
    <w:rsid w:val="4B9D1184"/>
    <w:rsid w:val="4BAB7C31"/>
    <w:rsid w:val="4BBA6D06"/>
    <w:rsid w:val="4BC230D9"/>
    <w:rsid w:val="4BC55ABF"/>
    <w:rsid w:val="4BDA2A7C"/>
    <w:rsid w:val="4C251AF9"/>
    <w:rsid w:val="4C65221A"/>
    <w:rsid w:val="4C9B2B75"/>
    <w:rsid w:val="4CBA3672"/>
    <w:rsid w:val="4CC40836"/>
    <w:rsid w:val="4D020D1B"/>
    <w:rsid w:val="4D034299"/>
    <w:rsid w:val="4D117D41"/>
    <w:rsid w:val="4D135DC3"/>
    <w:rsid w:val="4D40389F"/>
    <w:rsid w:val="4DF420F5"/>
    <w:rsid w:val="4E645C2C"/>
    <w:rsid w:val="4E880DD7"/>
    <w:rsid w:val="4E8B0072"/>
    <w:rsid w:val="4E9E27A4"/>
    <w:rsid w:val="4ED1790C"/>
    <w:rsid w:val="4F07605B"/>
    <w:rsid w:val="4F4F5829"/>
    <w:rsid w:val="4F8F4893"/>
    <w:rsid w:val="500130CE"/>
    <w:rsid w:val="50BC584E"/>
    <w:rsid w:val="50E0053E"/>
    <w:rsid w:val="50E75986"/>
    <w:rsid w:val="51322854"/>
    <w:rsid w:val="5149280F"/>
    <w:rsid w:val="51C365B2"/>
    <w:rsid w:val="51E46AE7"/>
    <w:rsid w:val="52241EBC"/>
    <w:rsid w:val="52457789"/>
    <w:rsid w:val="5266163F"/>
    <w:rsid w:val="529A3D8A"/>
    <w:rsid w:val="52C9784A"/>
    <w:rsid w:val="5364180C"/>
    <w:rsid w:val="5382152B"/>
    <w:rsid w:val="53FE5606"/>
    <w:rsid w:val="540B4704"/>
    <w:rsid w:val="54121EA3"/>
    <w:rsid w:val="54724B97"/>
    <w:rsid w:val="54FF3B64"/>
    <w:rsid w:val="55073DB0"/>
    <w:rsid w:val="556F2863"/>
    <w:rsid w:val="55BB5001"/>
    <w:rsid w:val="55C152B4"/>
    <w:rsid w:val="55D271BE"/>
    <w:rsid w:val="56080DB4"/>
    <w:rsid w:val="560F104C"/>
    <w:rsid w:val="562767E7"/>
    <w:rsid w:val="564C5E20"/>
    <w:rsid w:val="56594A37"/>
    <w:rsid w:val="569A7B47"/>
    <w:rsid w:val="56CF7EF9"/>
    <w:rsid w:val="56FA45C0"/>
    <w:rsid w:val="57283359"/>
    <w:rsid w:val="57301217"/>
    <w:rsid w:val="57593533"/>
    <w:rsid w:val="57AE039A"/>
    <w:rsid w:val="57B34CC5"/>
    <w:rsid w:val="57BF5603"/>
    <w:rsid w:val="57E37910"/>
    <w:rsid w:val="57EA2AD2"/>
    <w:rsid w:val="57FC4542"/>
    <w:rsid w:val="586C6A21"/>
    <w:rsid w:val="59024996"/>
    <w:rsid w:val="596E1AC6"/>
    <w:rsid w:val="5A600155"/>
    <w:rsid w:val="5A623658"/>
    <w:rsid w:val="5A864B12"/>
    <w:rsid w:val="5A964DAC"/>
    <w:rsid w:val="5AA65677"/>
    <w:rsid w:val="5AD145A8"/>
    <w:rsid w:val="5AEF3F5C"/>
    <w:rsid w:val="5B133AED"/>
    <w:rsid w:val="5B600BE4"/>
    <w:rsid w:val="5B84122A"/>
    <w:rsid w:val="5BAA7AB6"/>
    <w:rsid w:val="5CA911A4"/>
    <w:rsid w:val="5CFD206A"/>
    <w:rsid w:val="5D1570A9"/>
    <w:rsid w:val="5DC46AF0"/>
    <w:rsid w:val="5DD20101"/>
    <w:rsid w:val="5DF219FC"/>
    <w:rsid w:val="5E02284A"/>
    <w:rsid w:val="5E0D2DD9"/>
    <w:rsid w:val="5E1E1F0B"/>
    <w:rsid w:val="5E69675B"/>
    <w:rsid w:val="5EC4038A"/>
    <w:rsid w:val="5ED630B3"/>
    <w:rsid w:val="5EE81843"/>
    <w:rsid w:val="5EFF7ED4"/>
    <w:rsid w:val="5F1B2C24"/>
    <w:rsid w:val="5F50427D"/>
    <w:rsid w:val="5FB11391"/>
    <w:rsid w:val="5FB844E0"/>
    <w:rsid w:val="5FBE3E4A"/>
    <w:rsid w:val="60955C44"/>
    <w:rsid w:val="60A80276"/>
    <w:rsid w:val="61032E37"/>
    <w:rsid w:val="610575FA"/>
    <w:rsid w:val="6142291C"/>
    <w:rsid w:val="614A42B9"/>
    <w:rsid w:val="614B322B"/>
    <w:rsid w:val="61B72394"/>
    <w:rsid w:val="61B9175B"/>
    <w:rsid w:val="61BE67B4"/>
    <w:rsid w:val="62030197"/>
    <w:rsid w:val="624D175D"/>
    <w:rsid w:val="629B1C54"/>
    <w:rsid w:val="62A323F2"/>
    <w:rsid w:val="62A63745"/>
    <w:rsid w:val="62B6032B"/>
    <w:rsid w:val="630F223C"/>
    <w:rsid w:val="63180ED9"/>
    <w:rsid w:val="636B232C"/>
    <w:rsid w:val="63A1155A"/>
    <w:rsid w:val="63DC38E5"/>
    <w:rsid w:val="63FB6398"/>
    <w:rsid w:val="640072FD"/>
    <w:rsid w:val="641920C5"/>
    <w:rsid w:val="6439306A"/>
    <w:rsid w:val="64657FC6"/>
    <w:rsid w:val="64DB5A06"/>
    <w:rsid w:val="6560056E"/>
    <w:rsid w:val="658E7693"/>
    <w:rsid w:val="65B66C35"/>
    <w:rsid w:val="65BC08CD"/>
    <w:rsid w:val="65D95929"/>
    <w:rsid w:val="66007D67"/>
    <w:rsid w:val="660D5DBE"/>
    <w:rsid w:val="66570776"/>
    <w:rsid w:val="66C11F13"/>
    <w:rsid w:val="66EF7A28"/>
    <w:rsid w:val="67425DF4"/>
    <w:rsid w:val="67703441"/>
    <w:rsid w:val="6777664F"/>
    <w:rsid w:val="679E650E"/>
    <w:rsid w:val="68167C0A"/>
    <w:rsid w:val="68231671"/>
    <w:rsid w:val="68481850"/>
    <w:rsid w:val="68523D9B"/>
    <w:rsid w:val="6876296E"/>
    <w:rsid w:val="68A54DC2"/>
    <w:rsid w:val="68C23F39"/>
    <w:rsid w:val="68C617F4"/>
    <w:rsid w:val="68F52D65"/>
    <w:rsid w:val="6921668A"/>
    <w:rsid w:val="692E086F"/>
    <w:rsid w:val="69E375F2"/>
    <w:rsid w:val="6A08467F"/>
    <w:rsid w:val="6A482660"/>
    <w:rsid w:val="6A616FBB"/>
    <w:rsid w:val="6A66639C"/>
    <w:rsid w:val="6A6E6947"/>
    <w:rsid w:val="6AC534B8"/>
    <w:rsid w:val="6B0604B5"/>
    <w:rsid w:val="6B142482"/>
    <w:rsid w:val="6B2A74D2"/>
    <w:rsid w:val="6B485019"/>
    <w:rsid w:val="6B5863FA"/>
    <w:rsid w:val="6B6C07CE"/>
    <w:rsid w:val="6B897E7A"/>
    <w:rsid w:val="6BCC6269"/>
    <w:rsid w:val="6BD1083C"/>
    <w:rsid w:val="6BDE3F74"/>
    <w:rsid w:val="6C046B2A"/>
    <w:rsid w:val="6C181AE8"/>
    <w:rsid w:val="6C6A751E"/>
    <w:rsid w:val="6CAA23D4"/>
    <w:rsid w:val="6CBE1074"/>
    <w:rsid w:val="6D932511"/>
    <w:rsid w:val="6DA04EEA"/>
    <w:rsid w:val="6DC81BDF"/>
    <w:rsid w:val="6E1530D0"/>
    <w:rsid w:val="6E1B2BB4"/>
    <w:rsid w:val="6E1E7D37"/>
    <w:rsid w:val="6E293CAD"/>
    <w:rsid w:val="6E3A6D0D"/>
    <w:rsid w:val="6E496739"/>
    <w:rsid w:val="6E7E696F"/>
    <w:rsid w:val="6E997680"/>
    <w:rsid w:val="6EC86450"/>
    <w:rsid w:val="6F0B235B"/>
    <w:rsid w:val="6F0C35BC"/>
    <w:rsid w:val="6F0C79BF"/>
    <w:rsid w:val="6F46694B"/>
    <w:rsid w:val="6F6E4D38"/>
    <w:rsid w:val="6FC16CB1"/>
    <w:rsid w:val="6FDF5799"/>
    <w:rsid w:val="70460FCF"/>
    <w:rsid w:val="705C05E6"/>
    <w:rsid w:val="70776C11"/>
    <w:rsid w:val="70B67F36"/>
    <w:rsid w:val="70BE6C1C"/>
    <w:rsid w:val="70E33C4E"/>
    <w:rsid w:val="70FB2250"/>
    <w:rsid w:val="71180999"/>
    <w:rsid w:val="715177AE"/>
    <w:rsid w:val="71C1592F"/>
    <w:rsid w:val="71C96239"/>
    <w:rsid w:val="722B2DE0"/>
    <w:rsid w:val="72413CFE"/>
    <w:rsid w:val="72543E2C"/>
    <w:rsid w:val="72632299"/>
    <w:rsid w:val="726B0346"/>
    <w:rsid w:val="726F34E5"/>
    <w:rsid w:val="72BE537D"/>
    <w:rsid w:val="72DA05E4"/>
    <w:rsid w:val="72DC3AFD"/>
    <w:rsid w:val="73257DCF"/>
    <w:rsid w:val="735D01F7"/>
    <w:rsid w:val="7395398E"/>
    <w:rsid w:val="746E4293"/>
    <w:rsid w:val="74711995"/>
    <w:rsid w:val="749D4208"/>
    <w:rsid w:val="74E33C88"/>
    <w:rsid w:val="7506570B"/>
    <w:rsid w:val="756442C2"/>
    <w:rsid w:val="75993F1F"/>
    <w:rsid w:val="75F20EE0"/>
    <w:rsid w:val="761C2024"/>
    <w:rsid w:val="761C7B7E"/>
    <w:rsid w:val="763E110E"/>
    <w:rsid w:val="76764672"/>
    <w:rsid w:val="76921F53"/>
    <w:rsid w:val="76B30C4A"/>
    <w:rsid w:val="7701204E"/>
    <w:rsid w:val="7703736C"/>
    <w:rsid w:val="77726CC0"/>
    <w:rsid w:val="77954AC0"/>
    <w:rsid w:val="77BA61D3"/>
    <w:rsid w:val="77FA69E3"/>
    <w:rsid w:val="780211C0"/>
    <w:rsid w:val="787D351A"/>
    <w:rsid w:val="78CC477E"/>
    <w:rsid w:val="78D92D55"/>
    <w:rsid w:val="792D38DD"/>
    <w:rsid w:val="7975067D"/>
    <w:rsid w:val="79903541"/>
    <w:rsid w:val="799A3D0D"/>
    <w:rsid w:val="7A401675"/>
    <w:rsid w:val="7A6153B6"/>
    <w:rsid w:val="7AE069B4"/>
    <w:rsid w:val="7B6B3186"/>
    <w:rsid w:val="7B7E1B28"/>
    <w:rsid w:val="7C4C4989"/>
    <w:rsid w:val="7C705A17"/>
    <w:rsid w:val="7C890C4B"/>
    <w:rsid w:val="7CA03CF7"/>
    <w:rsid w:val="7DBC25AC"/>
    <w:rsid w:val="7DC62346"/>
    <w:rsid w:val="7DDA36CB"/>
    <w:rsid w:val="7DFA6045"/>
    <w:rsid w:val="7E062BD5"/>
    <w:rsid w:val="7E1D36F5"/>
    <w:rsid w:val="7E4B0FE6"/>
    <w:rsid w:val="7F1135E0"/>
    <w:rsid w:val="7F5158EF"/>
    <w:rsid w:val="7F545384"/>
    <w:rsid w:val="7F9C4F80"/>
    <w:rsid w:val="7FF25E0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164"/>
    <w:qFormat/>
    <w:uiPriority w:val="0"/>
    <w:pPr>
      <w:keepNext/>
      <w:keepLines/>
      <w:autoSpaceDE w:val="0"/>
      <w:autoSpaceDN w:val="0"/>
      <w:adjustRightInd w:val="0"/>
      <w:spacing w:before="240" w:after="120" w:line="300" w:lineRule="auto"/>
      <w:jc w:val="center"/>
      <w:outlineLvl w:val="0"/>
    </w:pPr>
    <w:rPr>
      <w:rFonts w:ascii="宋体" w:hAnsi="宋体"/>
      <w:b/>
      <w:kern w:val="44"/>
      <w:sz w:val="24"/>
    </w:rPr>
  </w:style>
  <w:style w:type="paragraph" w:styleId="4">
    <w:name w:val="heading 2"/>
    <w:basedOn w:val="1"/>
    <w:next w:val="1"/>
    <w:link w:val="149"/>
    <w:qFormat/>
    <w:uiPriority w:val="0"/>
    <w:pPr>
      <w:keepNext/>
      <w:keepLines/>
      <w:autoSpaceDE w:val="0"/>
      <w:autoSpaceDN w:val="0"/>
      <w:adjustRightInd w:val="0"/>
      <w:spacing w:before="120" w:line="300" w:lineRule="auto"/>
      <w:jc w:val="center"/>
      <w:outlineLvl w:val="1"/>
    </w:pPr>
    <w:rPr>
      <w:rFonts w:ascii="Arial" w:hAnsi="Arial" w:eastAsia="黑体"/>
      <w:b/>
      <w:kern w:val="0"/>
      <w:sz w:val="30"/>
    </w:rPr>
  </w:style>
  <w:style w:type="paragraph" w:styleId="5">
    <w:name w:val="heading 3"/>
    <w:basedOn w:val="1"/>
    <w:next w:val="1"/>
    <w:link w:val="165"/>
    <w:qFormat/>
    <w:uiPriority w:val="0"/>
    <w:pPr>
      <w:keepNext/>
      <w:keepLines/>
      <w:spacing w:before="260" w:after="260" w:line="413" w:lineRule="auto"/>
      <w:outlineLvl w:val="2"/>
    </w:pPr>
    <w:rPr>
      <w:b/>
      <w:sz w:val="32"/>
    </w:rPr>
  </w:style>
  <w:style w:type="paragraph" w:styleId="6">
    <w:name w:val="heading 4"/>
    <w:basedOn w:val="1"/>
    <w:next w:val="1"/>
    <w:link w:val="150"/>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keepLines/>
      <w:spacing w:before="280" w:after="290" w:line="376" w:lineRule="auto"/>
      <w:outlineLvl w:val="4"/>
    </w:pPr>
    <w:rPr>
      <w:b/>
      <w:bCs/>
      <w:sz w:val="28"/>
      <w:szCs w:val="28"/>
    </w:rPr>
  </w:style>
  <w:style w:type="paragraph" w:styleId="8">
    <w:name w:val="heading 6"/>
    <w:basedOn w:val="1"/>
    <w:next w:val="1"/>
    <w:qFormat/>
    <w:uiPriority w:val="0"/>
    <w:pPr>
      <w:widowControl/>
      <w:tabs>
        <w:tab w:val="left" w:pos="1152"/>
      </w:tabs>
      <w:spacing w:before="120" w:after="60"/>
      <w:ind w:left="1152" w:hanging="1152"/>
      <w:jc w:val="left"/>
      <w:outlineLvl w:val="5"/>
    </w:pPr>
    <w:rPr>
      <w:i/>
      <w:kern w:val="0"/>
      <w:sz w:val="22"/>
    </w:rPr>
  </w:style>
  <w:style w:type="paragraph" w:styleId="9">
    <w:name w:val="heading 7"/>
    <w:basedOn w:val="1"/>
    <w:next w:val="1"/>
    <w:qFormat/>
    <w:uiPriority w:val="0"/>
    <w:pPr>
      <w:widowControl/>
      <w:tabs>
        <w:tab w:val="left" w:pos="1296"/>
      </w:tabs>
      <w:spacing w:before="240" w:after="60"/>
      <w:ind w:left="1296" w:hanging="1296"/>
      <w:jc w:val="left"/>
      <w:outlineLvl w:val="6"/>
    </w:pPr>
    <w:rPr>
      <w:rFonts w:ascii="Arial" w:hAnsi="Arial"/>
      <w:kern w:val="0"/>
      <w:sz w:val="20"/>
    </w:rPr>
  </w:style>
  <w:style w:type="paragraph" w:styleId="10">
    <w:name w:val="heading 8"/>
    <w:basedOn w:val="1"/>
    <w:next w:val="1"/>
    <w:qFormat/>
    <w:uiPriority w:val="0"/>
    <w:pPr>
      <w:widowControl/>
      <w:tabs>
        <w:tab w:val="left" w:pos="1440"/>
      </w:tabs>
      <w:spacing w:before="240" w:after="60"/>
      <w:ind w:left="1440" w:hanging="1440"/>
      <w:jc w:val="left"/>
      <w:outlineLvl w:val="7"/>
    </w:pPr>
    <w:rPr>
      <w:rFonts w:ascii="Arial" w:hAnsi="Arial"/>
      <w:i/>
      <w:kern w:val="0"/>
      <w:sz w:val="20"/>
    </w:rPr>
  </w:style>
  <w:style w:type="paragraph" w:styleId="11">
    <w:name w:val="heading 9"/>
    <w:basedOn w:val="1"/>
    <w:next w:val="1"/>
    <w:qFormat/>
    <w:uiPriority w:val="0"/>
    <w:pPr>
      <w:widowControl/>
      <w:tabs>
        <w:tab w:val="left" w:pos="1584"/>
      </w:tabs>
      <w:spacing w:before="240" w:after="60"/>
      <w:ind w:left="1584" w:hanging="1584"/>
      <w:jc w:val="left"/>
      <w:outlineLvl w:val="8"/>
    </w:pPr>
    <w:rPr>
      <w:rFonts w:ascii="Arial" w:hAnsi="Arial"/>
      <w:b/>
      <w:i/>
      <w:kern w:val="0"/>
      <w:sz w:val="18"/>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rPr>
      <w:sz w:val="24"/>
    </w:rPr>
  </w:style>
  <w:style w:type="paragraph" w:styleId="12">
    <w:name w:val="toc 7"/>
    <w:basedOn w:val="1"/>
    <w:next w:val="1"/>
    <w:semiHidden/>
    <w:qFormat/>
    <w:uiPriority w:val="0"/>
    <w:pPr>
      <w:ind w:left="2520" w:leftChars="1200"/>
    </w:pPr>
  </w:style>
  <w:style w:type="paragraph" w:styleId="13">
    <w:name w:val="Normal Indent"/>
    <w:basedOn w:val="1"/>
    <w:link w:val="157"/>
    <w:qFormat/>
    <w:uiPriority w:val="0"/>
    <w:pPr>
      <w:ind w:firstLine="420" w:firstLineChars="200"/>
    </w:pPr>
  </w:style>
  <w:style w:type="paragraph" w:styleId="14">
    <w:name w:val="caption"/>
    <w:basedOn w:val="1"/>
    <w:next w:val="1"/>
    <w:qFormat/>
    <w:uiPriority w:val="0"/>
    <w:pPr>
      <w:spacing w:before="152" w:after="160"/>
    </w:pPr>
    <w:rPr>
      <w:rFonts w:ascii="Arial" w:hAnsi="Arial" w:eastAsia="黑体" w:cs="Arial"/>
      <w:sz w:val="20"/>
    </w:rPr>
  </w:style>
  <w:style w:type="paragraph" w:styleId="15">
    <w:name w:val="Document Map"/>
    <w:basedOn w:val="1"/>
    <w:semiHidden/>
    <w:qFormat/>
    <w:uiPriority w:val="0"/>
    <w:pPr>
      <w:shd w:val="clear" w:color="auto" w:fill="000080"/>
    </w:pPr>
    <w:rPr>
      <w:szCs w:val="24"/>
    </w:rPr>
  </w:style>
  <w:style w:type="paragraph" w:styleId="16">
    <w:name w:val="annotation text"/>
    <w:basedOn w:val="1"/>
    <w:semiHidden/>
    <w:qFormat/>
    <w:uiPriority w:val="0"/>
    <w:pPr>
      <w:jc w:val="left"/>
    </w:pPr>
  </w:style>
  <w:style w:type="paragraph" w:styleId="17">
    <w:name w:val="Body Text 3"/>
    <w:basedOn w:val="1"/>
    <w:qFormat/>
    <w:uiPriority w:val="0"/>
    <w:rPr>
      <w:color w:val="000000"/>
      <w:sz w:val="28"/>
      <w:szCs w:val="24"/>
    </w:rPr>
  </w:style>
  <w:style w:type="paragraph" w:styleId="18">
    <w:name w:val="Body Text Indent"/>
    <w:basedOn w:val="1"/>
    <w:link w:val="161"/>
    <w:qFormat/>
    <w:uiPriority w:val="0"/>
    <w:pPr>
      <w:snapToGrid w:val="0"/>
      <w:spacing w:line="300" w:lineRule="auto"/>
      <w:ind w:firstLine="524" w:firstLineChars="187"/>
    </w:pPr>
    <w:rPr>
      <w:rFonts w:eastAsia="仿宋_GB2312"/>
      <w:sz w:val="28"/>
    </w:rPr>
  </w:style>
  <w:style w:type="paragraph" w:styleId="19">
    <w:name w:val="toc 5"/>
    <w:basedOn w:val="1"/>
    <w:next w:val="1"/>
    <w:semiHidden/>
    <w:qFormat/>
    <w:uiPriority w:val="0"/>
    <w:pPr>
      <w:ind w:left="1680" w:leftChars="800"/>
    </w:pPr>
  </w:style>
  <w:style w:type="paragraph" w:styleId="20">
    <w:name w:val="toc 3"/>
    <w:basedOn w:val="1"/>
    <w:next w:val="1"/>
    <w:qFormat/>
    <w:uiPriority w:val="0"/>
    <w:pPr>
      <w:ind w:left="840" w:leftChars="400"/>
    </w:pPr>
  </w:style>
  <w:style w:type="paragraph" w:styleId="21">
    <w:name w:val="Plain Text"/>
    <w:basedOn w:val="1"/>
    <w:link w:val="160"/>
    <w:qFormat/>
    <w:uiPriority w:val="0"/>
    <w:rPr>
      <w:rFonts w:ascii="宋体" w:hAnsi="Courier New"/>
    </w:rPr>
  </w:style>
  <w:style w:type="paragraph" w:styleId="22">
    <w:name w:val="toc 8"/>
    <w:basedOn w:val="1"/>
    <w:next w:val="1"/>
    <w:semiHidden/>
    <w:qFormat/>
    <w:uiPriority w:val="0"/>
    <w:pPr>
      <w:ind w:left="2940" w:leftChars="1400"/>
    </w:pPr>
  </w:style>
  <w:style w:type="paragraph" w:styleId="23">
    <w:name w:val="Date"/>
    <w:basedOn w:val="1"/>
    <w:next w:val="1"/>
    <w:qFormat/>
    <w:uiPriority w:val="0"/>
    <w:pPr>
      <w:ind w:left="100" w:leftChars="2500"/>
    </w:pPr>
    <w:rPr>
      <w:b/>
      <w:sz w:val="30"/>
    </w:rPr>
  </w:style>
  <w:style w:type="paragraph" w:styleId="24">
    <w:name w:val="Body Text Indent 2"/>
    <w:basedOn w:val="1"/>
    <w:qFormat/>
    <w:uiPriority w:val="0"/>
    <w:pPr>
      <w:spacing w:after="120" w:line="480" w:lineRule="auto"/>
      <w:ind w:left="420"/>
    </w:pPr>
  </w:style>
  <w:style w:type="paragraph" w:styleId="25">
    <w:name w:val="Balloon Text"/>
    <w:basedOn w:val="1"/>
    <w:semiHidden/>
    <w:qFormat/>
    <w:uiPriority w:val="0"/>
    <w:rPr>
      <w:sz w:val="18"/>
      <w:szCs w:val="18"/>
    </w:rPr>
  </w:style>
  <w:style w:type="paragraph" w:styleId="26">
    <w:name w:val="footer"/>
    <w:basedOn w:val="1"/>
    <w:link w:val="152"/>
    <w:qFormat/>
    <w:uiPriority w:val="0"/>
    <w:pPr>
      <w:tabs>
        <w:tab w:val="center" w:pos="4153"/>
        <w:tab w:val="right" w:pos="8306"/>
      </w:tabs>
      <w:adjustRightInd w:val="0"/>
      <w:spacing w:line="240" w:lineRule="atLeast"/>
      <w:jc w:val="left"/>
      <w:textAlignment w:val="baseline"/>
    </w:pPr>
    <w:rPr>
      <w:kern w:val="0"/>
      <w:sz w:val="18"/>
    </w:rPr>
  </w:style>
  <w:style w:type="paragraph" w:styleId="27">
    <w:name w:val="header"/>
    <w:basedOn w:val="1"/>
    <w:qFormat/>
    <w:uiPriority w:val="0"/>
    <w:pPr>
      <w:pBdr>
        <w:bottom w:val="single" w:color="auto" w:sz="6" w:space="1"/>
      </w:pBdr>
      <w:tabs>
        <w:tab w:val="center" w:pos="4153"/>
        <w:tab w:val="right" w:pos="8306"/>
      </w:tabs>
      <w:snapToGrid w:val="0"/>
      <w:jc w:val="center"/>
    </w:pPr>
    <w:rPr>
      <w:sz w:val="18"/>
    </w:rPr>
  </w:style>
  <w:style w:type="paragraph" w:styleId="28">
    <w:name w:val="toc 1"/>
    <w:basedOn w:val="1"/>
    <w:next w:val="1"/>
    <w:qFormat/>
    <w:uiPriority w:val="0"/>
  </w:style>
  <w:style w:type="paragraph" w:styleId="29">
    <w:name w:val="toc 4"/>
    <w:basedOn w:val="1"/>
    <w:next w:val="1"/>
    <w:semiHidden/>
    <w:qFormat/>
    <w:uiPriority w:val="0"/>
    <w:pPr>
      <w:ind w:left="1260" w:leftChars="600"/>
    </w:pPr>
  </w:style>
  <w:style w:type="paragraph" w:styleId="30">
    <w:name w:val="index heading"/>
    <w:basedOn w:val="1"/>
    <w:next w:val="31"/>
    <w:semiHidden/>
    <w:qFormat/>
    <w:uiPriority w:val="0"/>
    <w:rPr>
      <w:szCs w:val="24"/>
    </w:rPr>
  </w:style>
  <w:style w:type="paragraph" w:styleId="31">
    <w:name w:val="index 1"/>
    <w:basedOn w:val="1"/>
    <w:next w:val="1"/>
    <w:semiHidden/>
    <w:qFormat/>
    <w:uiPriority w:val="0"/>
  </w:style>
  <w:style w:type="paragraph" w:styleId="32">
    <w:name w:val="List"/>
    <w:basedOn w:val="1"/>
    <w:unhideWhenUsed/>
    <w:qFormat/>
    <w:uiPriority w:val="0"/>
    <w:pPr>
      <w:ind w:left="420" w:hanging="420"/>
    </w:pPr>
  </w:style>
  <w:style w:type="paragraph" w:styleId="33">
    <w:name w:val="footnote text"/>
    <w:basedOn w:val="1"/>
    <w:semiHidden/>
    <w:qFormat/>
    <w:uiPriority w:val="0"/>
    <w:pPr>
      <w:snapToGrid w:val="0"/>
      <w:jc w:val="left"/>
    </w:pPr>
    <w:rPr>
      <w:sz w:val="18"/>
      <w:szCs w:val="18"/>
    </w:rPr>
  </w:style>
  <w:style w:type="paragraph" w:styleId="34">
    <w:name w:val="toc 6"/>
    <w:basedOn w:val="1"/>
    <w:next w:val="1"/>
    <w:semiHidden/>
    <w:qFormat/>
    <w:uiPriority w:val="0"/>
    <w:pPr>
      <w:ind w:left="2100" w:leftChars="1000"/>
    </w:pPr>
  </w:style>
  <w:style w:type="paragraph" w:styleId="35">
    <w:name w:val="Body Text Indent 3"/>
    <w:basedOn w:val="1"/>
    <w:qFormat/>
    <w:uiPriority w:val="0"/>
    <w:pPr>
      <w:autoSpaceDE w:val="0"/>
      <w:autoSpaceDN w:val="0"/>
      <w:adjustRightInd w:val="0"/>
      <w:spacing w:before="120" w:line="22" w:lineRule="atLeast"/>
      <w:ind w:left="720" w:firstLine="480"/>
      <w:jc w:val="left"/>
    </w:pPr>
    <w:rPr>
      <w:rFonts w:ascii="宋体"/>
      <w:kern w:val="0"/>
      <w:sz w:val="24"/>
    </w:rPr>
  </w:style>
  <w:style w:type="paragraph" w:styleId="36">
    <w:name w:val="toc 2"/>
    <w:basedOn w:val="1"/>
    <w:next w:val="1"/>
    <w:qFormat/>
    <w:uiPriority w:val="0"/>
    <w:pPr>
      <w:ind w:left="420" w:leftChars="200"/>
    </w:pPr>
  </w:style>
  <w:style w:type="paragraph" w:styleId="37">
    <w:name w:val="toc 9"/>
    <w:basedOn w:val="1"/>
    <w:next w:val="1"/>
    <w:semiHidden/>
    <w:qFormat/>
    <w:uiPriority w:val="0"/>
    <w:pPr>
      <w:ind w:left="3360" w:leftChars="1600"/>
    </w:pPr>
  </w:style>
  <w:style w:type="paragraph" w:styleId="38">
    <w:name w:val="Body Text 2"/>
    <w:basedOn w:val="1"/>
    <w:qFormat/>
    <w:uiPriority w:val="0"/>
    <w:rPr>
      <w:rFonts w:hAnsi="Arial"/>
      <w:sz w:val="16"/>
      <w:szCs w:val="16"/>
    </w:rPr>
  </w:style>
  <w:style w:type="paragraph" w:styleId="3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40">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41">
    <w:name w:val="Title"/>
    <w:basedOn w:val="1"/>
    <w:qFormat/>
    <w:uiPriority w:val="0"/>
    <w:pPr>
      <w:numPr>
        <w:ilvl w:val="0"/>
        <w:numId w:val="1"/>
      </w:numPr>
      <w:spacing w:before="240" w:after="60"/>
      <w:jc w:val="left"/>
      <w:outlineLvl w:val="0"/>
    </w:pPr>
    <w:rPr>
      <w:rFonts w:ascii="Arial" w:hAnsi="Arial" w:cs="Arial"/>
      <w:b/>
      <w:bCs/>
      <w:sz w:val="28"/>
      <w:szCs w:val="32"/>
    </w:rPr>
  </w:style>
  <w:style w:type="paragraph" w:styleId="42">
    <w:name w:val="annotation subject"/>
    <w:basedOn w:val="16"/>
    <w:next w:val="16"/>
    <w:semiHidden/>
    <w:qFormat/>
    <w:uiPriority w:val="0"/>
    <w:rPr>
      <w:b/>
      <w:bCs/>
      <w:szCs w:val="24"/>
    </w:rPr>
  </w:style>
  <w:style w:type="table" w:styleId="44">
    <w:name w:val="Table Grid"/>
    <w:basedOn w:val="43"/>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22"/>
    <w:rPr>
      <w:b/>
      <w:bCs/>
    </w:rPr>
  </w:style>
  <w:style w:type="character" w:styleId="47">
    <w:name w:val="page number"/>
    <w:basedOn w:val="45"/>
    <w:qFormat/>
    <w:uiPriority w:val="0"/>
  </w:style>
  <w:style w:type="character" w:styleId="48">
    <w:name w:val="FollowedHyperlink"/>
    <w:qFormat/>
    <w:uiPriority w:val="99"/>
    <w:rPr>
      <w:color w:val="800080"/>
      <w:u w:val="none"/>
    </w:rPr>
  </w:style>
  <w:style w:type="character" w:styleId="49">
    <w:name w:val="Hyperlink"/>
    <w:qFormat/>
    <w:uiPriority w:val="99"/>
    <w:rPr>
      <w:caps/>
      <w:color w:val="0000FF"/>
    </w:rPr>
  </w:style>
  <w:style w:type="character" w:styleId="50">
    <w:name w:val="annotation reference"/>
    <w:semiHidden/>
    <w:qFormat/>
    <w:uiPriority w:val="0"/>
    <w:rPr>
      <w:sz w:val="21"/>
    </w:rPr>
  </w:style>
  <w:style w:type="character" w:styleId="51">
    <w:name w:val="footnote reference"/>
    <w:semiHidden/>
    <w:qFormat/>
    <w:uiPriority w:val="0"/>
    <w:rPr>
      <w:vertAlign w:val="superscript"/>
    </w:rPr>
  </w:style>
  <w:style w:type="paragraph" w:styleId="52">
    <w:name w:val="No Spacing"/>
    <w:qFormat/>
    <w:uiPriority w:val="1"/>
    <w:rPr>
      <w:rFonts w:ascii="Calibri" w:hAnsi="Calibri" w:eastAsia="宋体" w:cs="Times New Roman"/>
      <w:sz w:val="22"/>
      <w:szCs w:val="22"/>
      <w:lang w:val="en-US" w:eastAsia="zh-CN" w:bidi="ar-SA"/>
    </w:rPr>
  </w:style>
  <w:style w:type="paragraph" w:customStyle="1" w:styleId="53">
    <w:name w:val="正文（缩进） Char"/>
    <w:basedOn w:val="1"/>
    <w:link w:val="153"/>
    <w:qFormat/>
    <w:uiPriority w:val="0"/>
    <w:pPr>
      <w:spacing w:beforeLines="50" w:afterLines="50" w:line="360" w:lineRule="auto"/>
      <w:ind w:firstLine="480" w:firstLineChars="200"/>
    </w:pPr>
    <w:rPr>
      <w:sz w:val="24"/>
      <w:szCs w:val="24"/>
    </w:rPr>
  </w:style>
  <w:style w:type="paragraph" w:customStyle="1" w:styleId="54">
    <w:name w:val="正文（缩进）"/>
    <w:basedOn w:val="1"/>
    <w:link w:val="158"/>
    <w:qFormat/>
    <w:uiPriority w:val="0"/>
    <w:pPr>
      <w:spacing w:beforeLines="50" w:afterLines="50" w:line="360" w:lineRule="auto"/>
      <w:ind w:firstLine="480" w:firstLineChars="200"/>
    </w:pPr>
    <w:rPr>
      <w:sz w:val="24"/>
      <w:szCs w:val="24"/>
    </w:rPr>
  </w:style>
  <w:style w:type="paragraph" w:customStyle="1" w:styleId="55">
    <w:name w:val="Text Char Char"/>
    <w:basedOn w:val="1"/>
    <w:link w:val="162"/>
    <w:qFormat/>
    <w:uiPriority w:val="0"/>
    <w:pPr>
      <w:widowControl/>
      <w:spacing w:after="120"/>
      <w:jc w:val="left"/>
    </w:pPr>
    <w:rPr>
      <w:kern w:val="0"/>
      <w:sz w:val="24"/>
      <w:lang w:eastAsia="en-US"/>
    </w:rPr>
  </w:style>
  <w:style w:type="paragraph" w:customStyle="1" w:styleId="56">
    <w:name w:val="Char1 Char Char1 Char"/>
    <w:basedOn w:val="1"/>
    <w:qFormat/>
    <w:uiPriority w:val="0"/>
    <w:pPr>
      <w:tabs>
        <w:tab w:val="left" w:pos="420"/>
      </w:tabs>
      <w:ind w:left="420" w:hanging="420"/>
    </w:pPr>
    <w:rPr>
      <w:rFonts w:ascii="Tahoma" w:hAnsi="Tahoma" w:cs="Tahoma"/>
      <w:sz w:val="28"/>
      <w:szCs w:val="28"/>
    </w:rPr>
  </w:style>
  <w:style w:type="paragraph" w:customStyle="1" w:styleId="57">
    <w:name w:val="xl51"/>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kern w:val="0"/>
      <w:sz w:val="20"/>
    </w:rPr>
  </w:style>
  <w:style w:type="paragraph" w:customStyle="1" w:styleId="58">
    <w:name w:val="xl30"/>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kern w:val="0"/>
      <w:sz w:val="20"/>
    </w:rPr>
  </w:style>
  <w:style w:type="paragraph" w:customStyle="1" w:styleId="59">
    <w:name w:val="xl59"/>
    <w:basedOn w:val="1"/>
    <w:qFormat/>
    <w:uiPriority w:val="0"/>
    <w:pPr>
      <w:widowControl/>
      <w:pBdr>
        <w:top w:val="single" w:color="auto" w:sz="4" w:space="0"/>
        <w:left w:val="single" w:color="auto" w:sz="8" w:space="0"/>
        <w:bottom w:val="single" w:color="auto" w:sz="4" w:space="0"/>
      </w:pBdr>
      <w:shd w:val="clear" w:color="auto" w:fill="FFFF99"/>
      <w:spacing w:before="100" w:beforeAutospacing="1" w:after="100" w:afterAutospacing="1"/>
      <w:jc w:val="left"/>
    </w:pPr>
    <w:rPr>
      <w:rFonts w:ascii="Arial Unicode MS" w:hAnsi="Arial Unicode MS" w:eastAsia="Arial Unicode MS" w:cs="Arial Unicode MS"/>
      <w:b/>
      <w:bCs/>
      <w:color w:val="000000"/>
      <w:kern w:val="0"/>
      <w:sz w:val="20"/>
    </w:rPr>
  </w:style>
  <w:style w:type="paragraph" w:customStyle="1" w:styleId="60">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kern w:val="0"/>
      <w:sz w:val="20"/>
    </w:rPr>
  </w:style>
  <w:style w:type="paragraph" w:customStyle="1" w:styleId="61">
    <w:name w:val="图文"/>
    <w:basedOn w:val="1"/>
    <w:qFormat/>
    <w:uiPriority w:val="0"/>
    <w:pPr>
      <w:adjustRightInd w:val="0"/>
      <w:snapToGrid w:val="0"/>
      <w:spacing w:after="50" w:line="360" w:lineRule="auto"/>
    </w:pPr>
    <w:rPr>
      <w:sz w:val="24"/>
    </w:rPr>
  </w:style>
  <w:style w:type="paragraph" w:customStyle="1" w:styleId="62">
    <w:name w:val="xl53"/>
    <w:basedOn w:val="1"/>
    <w:qFormat/>
    <w:uiPriority w:val="0"/>
    <w:pPr>
      <w:widowControl/>
      <w:pBdr>
        <w:top w:val="single" w:color="auto" w:sz="4" w:space="0"/>
        <w:left w:val="single" w:color="auto" w:sz="8" w:space="0"/>
        <w:bottom w:val="single" w:color="auto" w:sz="4" w:space="0"/>
      </w:pBdr>
      <w:shd w:val="clear" w:color="auto" w:fill="FFFF99"/>
      <w:spacing w:before="100" w:beforeAutospacing="1" w:after="100" w:afterAutospacing="1"/>
      <w:jc w:val="left"/>
    </w:pPr>
    <w:rPr>
      <w:rFonts w:ascii="Arial Unicode MS" w:hAnsi="Arial Unicode MS" w:eastAsia="Arial Unicode MS" w:cs="Arial Unicode MS"/>
      <w:b/>
      <w:bCs/>
      <w:color w:val="000000"/>
      <w:kern w:val="0"/>
      <w:sz w:val="20"/>
    </w:rPr>
  </w:style>
  <w:style w:type="paragraph" w:customStyle="1" w:styleId="63">
    <w:name w:val="font9"/>
    <w:basedOn w:val="1"/>
    <w:qFormat/>
    <w:uiPriority w:val="0"/>
    <w:pPr>
      <w:widowControl/>
      <w:spacing w:before="100" w:beforeAutospacing="1" w:after="100" w:afterAutospacing="1"/>
      <w:jc w:val="left"/>
    </w:pPr>
    <w:rPr>
      <w:rFonts w:eastAsia="Arial Unicode MS"/>
      <w:kern w:val="0"/>
      <w:sz w:val="20"/>
    </w:rPr>
  </w:style>
  <w:style w:type="paragraph" w:customStyle="1" w:styleId="64">
    <w:name w:val="项目"/>
    <w:basedOn w:val="1"/>
    <w:qFormat/>
    <w:uiPriority w:val="0"/>
    <w:pPr>
      <w:numPr>
        <w:ilvl w:val="0"/>
        <w:numId w:val="2"/>
      </w:numPr>
      <w:tabs>
        <w:tab w:val="left" w:pos="425"/>
        <w:tab w:val="clear" w:pos="880"/>
      </w:tabs>
      <w:adjustRightInd w:val="0"/>
      <w:spacing w:before="120" w:after="120"/>
      <w:ind w:left="425" w:hanging="425"/>
      <w:jc w:val="left"/>
    </w:pPr>
    <w:rPr>
      <w:rFonts w:ascii="宋体"/>
      <w:kern w:val="0"/>
      <w:sz w:val="24"/>
    </w:rPr>
  </w:style>
  <w:style w:type="paragraph" w:customStyle="1" w:styleId="65">
    <w:name w:val="文章标题"/>
    <w:next w:val="3"/>
    <w:qFormat/>
    <w:uiPriority w:val="0"/>
    <w:pPr>
      <w:widowControl w:val="0"/>
      <w:adjustRightInd w:val="0"/>
      <w:spacing w:before="120" w:after="120"/>
      <w:jc w:val="center"/>
      <w:textAlignment w:val="baseline"/>
    </w:pPr>
    <w:rPr>
      <w:rFonts w:ascii="黑体" w:hAnsi="Times New Roman" w:eastAsia="黑体" w:cs="Times New Roman"/>
      <w:b/>
      <w:spacing w:val="20"/>
      <w:sz w:val="36"/>
      <w:lang w:val="en-US" w:eastAsia="zh-CN" w:bidi="ar-SA"/>
    </w:rPr>
  </w:style>
  <w:style w:type="paragraph" w:customStyle="1" w:styleId="66">
    <w:name w:val="tableheading"/>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7">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33CCCC"/>
      <w:spacing w:before="100" w:beforeAutospacing="1" w:after="100" w:afterAutospacing="1"/>
      <w:jc w:val="left"/>
    </w:pPr>
    <w:rPr>
      <w:rFonts w:ascii="Arial Unicode MS" w:hAnsi="Arial Unicode MS" w:eastAsia="Arial Unicode MS" w:cs="Arial Unicode MS"/>
      <w:b/>
      <w:bCs/>
      <w:kern w:val="0"/>
      <w:sz w:val="24"/>
      <w:szCs w:val="24"/>
    </w:rPr>
  </w:style>
  <w:style w:type="paragraph" w:customStyle="1" w:styleId="68">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33CCCC"/>
      <w:spacing w:before="100" w:beforeAutospacing="1" w:after="100" w:afterAutospacing="1"/>
      <w:jc w:val="left"/>
      <w:textAlignment w:val="center"/>
    </w:pPr>
    <w:rPr>
      <w:rFonts w:ascii="Arial Unicode MS" w:hAnsi="Arial Unicode MS" w:eastAsia="Arial Unicode MS" w:cs="Arial Unicode MS"/>
      <w:b/>
      <w:bCs/>
      <w:kern w:val="0"/>
      <w:sz w:val="24"/>
      <w:szCs w:val="24"/>
    </w:rPr>
  </w:style>
  <w:style w:type="paragraph" w:customStyle="1" w:styleId="69">
    <w:name w:val="xl5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rPr>
  </w:style>
  <w:style w:type="paragraph" w:customStyle="1" w:styleId="70">
    <w:name w:val="font14"/>
    <w:basedOn w:val="1"/>
    <w:qFormat/>
    <w:uiPriority w:val="0"/>
    <w:pPr>
      <w:widowControl/>
      <w:spacing w:before="100" w:beforeAutospacing="1" w:after="100" w:afterAutospacing="1"/>
      <w:jc w:val="left"/>
    </w:pPr>
    <w:rPr>
      <w:rFonts w:hint="eastAsia" w:ascii="宋体" w:hAnsi="宋体" w:cs="Arial Unicode MS"/>
      <w:i/>
      <w:iCs/>
      <w:color w:val="000000"/>
      <w:kern w:val="0"/>
      <w:szCs w:val="21"/>
    </w:rPr>
  </w:style>
  <w:style w:type="paragraph" w:customStyle="1" w:styleId="71">
    <w:name w:val="图"/>
    <w:basedOn w:val="1"/>
    <w:next w:val="1"/>
    <w:qFormat/>
    <w:uiPriority w:val="0"/>
    <w:pPr>
      <w:tabs>
        <w:tab w:val="left" w:pos="680"/>
      </w:tabs>
      <w:adjustRightInd w:val="0"/>
      <w:spacing w:before="60" w:after="60" w:line="360" w:lineRule="atLeast"/>
      <w:jc w:val="center"/>
      <w:textAlignment w:val="baseline"/>
    </w:pPr>
    <w:rPr>
      <w:rFonts w:eastAsia="仿宋_GB2312"/>
      <w:b/>
      <w:kern w:val="0"/>
      <w:sz w:val="28"/>
    </w:rPr>
  </w:style>
  <w:style w:type="paragraph" w:customStyle="1" w:styleId="72">
    <w:name w:val="xl6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kern w:val="0"/>
      <w:sz w:val="20"/>
    </w:rPr>
  </w:style>
  <w:style w:type="paragraph" w:customStyle="1" w:styleId="73">
    <w:name w:val="font6"/>
    <w:basedOn w:val="1"/>
    <w:qFormat/>
    <w:uiPriority w:val="0"/>
    <w:pPr>
      <w:widowControl/>
      <w:spacing w:before="100" w:beforeAutospacing="1" w:after="100" w:afterAutospacing="1"/>
      <w:jc w:val="left"/>
    </w:pPr>
    <w:rPr>
      <w:rFonts w:hint="eastAsia" w:ascii="宋体" w:hAnsi="宋体"/>
      <w:kern w:val="0"/>
      <w:sz w:val="20"/>
    </w:rPr>
  </w:style>
  <w:style w:type="paragraph" w:customStyle="1" w:styleId="74">
    <w:name w:val="Char Char Char Char Char Char Char Char"/>
    <w:basedOn w:val="1"/>
    <w:qFormat/>
    <w:uiPriority w:val="0"/>
    <w:pPr>
      <w:tabs>
        <w:tab w:val="left" w:pos="360"/>
      </w:tabs>
    </w:pPr>
    <w:rPr>
      <w:sz w:val="24"/>
      <w:szCs w:val="24"/>
    </w:rPr>
  </w:style>
  <w:style w:type="paragraph" w:customStyle="1" w:styleId="75">
    <w:name w:val="正文内容"/>
    <w:basedOn w:val="1"/>
    <w:qFormat/>
    <w:uiPriority w:val="0"/>
    <w:pPr>
      <w:adjustRightInd w:val="0"/>
      <w:spacing w:line="360" w:lineRule="auto"/>
      <w:ind w:firstLine="480" w:firstLineChars="200"/>
      <w:jc w:val="left"/>
      <w:textAlignment w:val="baseline"/>
    </w:pPr>
    <w:rPr>
      <w:rFonts w:ascii="Arial" w:hAnsi="Arial"/>
      <w:sz w:val="24"/>
      <w:szCs w:val="21"/>
    </w:rPr>
  </w:style>
  <w:style w:type="paragraph" w:customStyle="1" w:styleId="76">
    <w:name w:val="0"/>
    <w:basedOn w:val="1"/>
    <w:qFormat/>
    <w:uiPriority w:val="0"/>
    <w:pPr>
      <w:widowControl/>
      <w:snapToGrid w:val="0"/>
      <w:spacing w:before="156" w:after="156" w:line="360" w:lineRule="auto"/>
    </w:pPr>
    <w:rPr>
      <w:kern w:val="0"/>
      <w:sz w:val="24"/>
    </w:rPr>
  </w:style>
  <w:style w:type="paragraph" w:customStyle="1" w:styleId="77">
    <w:name w:val="正文格式"/>
    <w:basedOn w:val="1"/>
    <w:qFormat/>
    <w:uiPriority w:val="0"/>
    <w:pPr>
      <w:widowControl/>
      <w:adjustRightInd w:val="0"/>
      <w:snapToGrid w:val="0"/>
      <w:spacing w:line="360" w:lineRule="atLeast"/>
      <w:ind w:firstLine="482"/>
      <w:textAlignment w:val="baseline"/>
    </w:pPr>
    <w:rPr>
      <w:kern w:val="0"/>
      <w:sz w:val="24"/>
    </w:rPr>
  </w:style>
  <w:style w:type="paragraph" w:customStyle="1" w:styleId="78">
    <w:name w:val="font10"/>
    <w:basedOn w:val="1"/>
    <w:qFormat/>
    <w:uiPriority w:val="0"/>
    <w:pPr>
      <w:widowControl/>
      <w:spacing w:before="100" w:beforeAutospacing="1" w:after="100" w:afterAutospacing="1"/>
      <w:jc w:val="left"/>
    </w:pPr>
    <w:rPr>
      <w:rFonts w:hint="eastAsia" w:ascii="宋体" w:hAnsi="宋体" w:cs="Arial Unicode MS"/>
      <w:b/>
      <w:bCs/>
      <w:color w:val="000000"/>
      <w:kern w:val="0"/>
      <w:sz w:val="20"/>
    </w:rPr>
  </w:style>
  <w:style w:type="paragraph" w:customStyle="1" w:styleId="79">
    <w:name w:val="Char Char Char Char"/>
    <w:basedOn w:val="15"/>
    <w:qFormat/>
    <w:uiPriority w:val="0"/>
    <w:rPr>
      <w:rFonts w:ascii="Tahoma" w:hAnsi="Tahoma"/>
      <w:sz w:val="24"/>
    </w:rPr>
  </w:style>
  <w:style w:type="paragraph" w:customStyle="1" w:styleId="80">
    <w:name w:val="1"/>
    <w:basedOn w:val="1"/>
    <w:next w:val="24"/>
    <w:qFormat/>
    <w:uiPriority w:val="0"/>
    <w:pPr>
      <w:adjustRightInd w:val="0"/>
      <w:spacing w:line="360" w:lineRule="atLeast"/>
      <w:ind w:left="600" w:firstLine="720"/>
      <w:jc w:val="left"/>
      <w:textAlignment w:val="baseline"/>
    </w:pPr>
    <w:rPr>
      <w:rFonts w:ascii="宋体"/>
      <w:kern w:val="0"/>
      <w:sz w:val="24"/>
    </w:rPr>
  </w:style>
  <w:style w:type="paragraph" w:customStyle="1" w:styleId="81">
    <w:name w:val="标题6"/>
    <w:basedOn w:val="21"/>
    <w:qFormat/>
    <w:uiPriority w:val="0"/>
    <w:pPr>
      <w:spacing w:line="360" w:lineRule="auto"/>
    </w:pPr>
    <w:rPr>
      <w:rFonts w:hAnsi="宋体"/>
      <w:b/>
    </w:rPr>
  </w:style>
  <w:style w:type="paragraph" w:customStyle="1" w:styleId="82">
    <w:name w:val="项目2"/>
    <w:basedOn w:val="1"/>
    <w:qFormat/>
    <w:uiPriority w:val="0"/>
    <w:pPr>
      <w:tabs>
        <w:tab w:val="left" w:pos="425"/>
      </w:tabs>
      <w:spacing w:before="60" w:after="60" w:line="360" w:lineRule="auto"/>
      <w:ind w:left="425" w:hanging="425"/>
    </w:pPr>
    <w:rPr>
      <w:sz w:val="24"/>
    </w:rPr>
  </w:style>
  <w:style w:type="paragraph" w:customStyle="1" w:styleId="83">
    <w:name w:val="xl47"/>
    <w:basedOn w:val="1"/>
    <w:qFormat/>
    <w:uiPriority w:val="0"/>
    <w:pPr>
      <w:widowControl/>
      <w:pBdr>
        <w:left w:val="single" w:color="auto" w:sz="4" w:space="0"/>
        <w:bottom w:val="single" w:color="auto" w:sz="4" w:space="0"/>
        <w:right w:val="single" w:color="auto" w:sz="8" w:space="0"/>
      </w:pBdr>
      <w:shd w:val="clear" w:color="auto" w:fill="FFFF99"/>
      <w:spacing w:before="100" w:beforeAutospacing="1" w:after="100" w:afterAutospacing="1"/>
      <w:jc w:val="center"/>
    </w:pPr>
    <w:rPr>
      <w:rFonts w:ascii="Arial Unicode MS" w:hAnsi="Arial Unicode MS" w:eastAsia="Arial Unicode MS" w:cs="Arial Unicode MS"/>
      <w:b/>
      <w:bCs/>
      <w:kern w:val="0"/>
      <w:sz w:val="20"/>
    </w:rPr>
  </w:style>
  <w:style w:type="paragraph" w:customStyle="1" w:styleId="84">
    <w:name w:val="样式1"/>
    <w:basedOn w:val="6"/>
    <w:qFormat/>
    <w:uiPriority w:val="0"/>
    <w:pPr>
      <w:tabs>
        <w:tab w:val="left" w:pos="992"/>
      </w:tabs>
      <w:spacing w:line="420" w:lineRule="exact"/>
      <w:ind w:left="992" w:hanging="567"/>
    </w:pPr>
    <w:rPr>
      <w:sz w:val="24"/>
    </w:rPr>
  </w:style>
  <w:style w:type="paragraph" w:customStyle="1" w:styleId="85">
    <w:name w:val="xl49"/>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jc w:val="center"/>
    </w:pPr>
    <w:rPr>
      <w:rFonts w:ascii="Arial Unicode MS" w:hAnsi="Arial Unicode MS" w:eastAsia="Arial Unicode MS" w:cs="Arial Unicode MS"/>
      <w:b/>
      <w:bCs/>
      <w:kern w:val="0"/>
      <w:sz w:val="20"/>
    </w:rPr>
  </w:style>
  <w:style w:type="paragraph" w:customStyle="1" w:styleId="86">
    <w:name w:val="标题3"/>
    <w:basedOn w:val="5"/>
    <w:qFormat/>
    <w:uiPriority w:val="0"/>
    <w:pPr>
      <w:spacing w:before="0" w:after="0" w:line="360" w:lineRule="auto"/>
      <w:ind w:left="1258" w:hanging="1258" w:hangingChars="522"/>
    </w:pPr>
    <w:rPr>
      <w:bCs/>
      <w:sz w:val="24"/>
      <w:szCs w:val="32"/>
    </w:rPr>
  </w:style>
  <w:style w:type="paragraph" w:customStyle="1" w:styleId="87">
    <w:name w:val="xl62"/>
    <w:basedOn w:val="1"/>
    <w:qFormat/>
    <w:uiPriority w:val="0"/>
    <w:pPr>
      <w:widowControl/>
      <w:pBdr>
        <w:top w:val="single" w:color="auto" w:sz="8" w:space="0"/>
        <w:left w:val="single" w:color="auto" w:sz="8" w:space="0"/>
        <w:bottom w:val="single" w:color="auto" w:sz="8" w:space="0"/>
        <w:right w:val="single" w:color="auto" w:sz="4" w:space="0"/>
      </w:pBdr>
      <w:shd w:val="clear" w:color="auto" w:fill="CCFFCC"/>
      <w:spacing w:before="100" w:beforeAutospacing="1" w:after="100" w:afterAutospacing="1"/>
      <w:jc w:val="center"/>
    </w:pPr>
    <w:rPr>
      <w:rFonts w:ascii="Arial Unicode MS" w:hAnsi="Arial Unicode MS" w:eastAsia="Arial Unicode MS" w:cs="Arial Unicode MS"/>
      <w:b/>
      <w:bCs/>
      <w:kern w:val="0"/>
      <w:sz w:val="20"/>
    </w:rPr>
  </w:style>
  <w:style w:type="paragraph" w:customStyle="1" w:styleId="88">
    <w:name w:val="xl65"/>
    <w:basedOn w:val="1"/>
    <w:qFormat/>
    <w:uiPriority w:val="0"/>
    <w:pPr>
      <w:widowControl/>
      <w:pBdr>
        <w:bottom w:val="single" w:color="auto" w:sz="4" w:space="0"/>
      </w:pBdr>
      <w:shd w:val="clear" w:color="auto" w:fill="FFFF99"/>
      <w:spacing w:before="100" w:beforeAutospacing="1" w:after="100" w:afterAutospacing="1"/>
      <w:jc w:val="left"/>
    </w:pPr>
    <w:rPr>
      <w:rFonts w:ascii="Arial Unicode MS" w:hAnsi="Arial Unicode MS" w:eastAsia="Arial Unicode MS" w:cs="Arial Unicode MS"/>
      <w:kern w:val="0"/>
      <w:sz w:val="20"/>
    </w:rPr>
  </w:style>
  <w:style w:type="paragraph" w:customStyle="1" w:styleId="89">
    <w:name w:val="正文（标记）"/>
    <w:basedOn w:val="1"/>
    <w:qFormat/>
    <w:uiPriority w:val="0"/>
    <w:pPr>
      <w:tabs>
        <w:tab w:val="left" w:pos="900"/>
      </w:tabs>
      <w:spacing w:beforeLines="50" w:afterLines="50"/>
      <w:ind w:left="900" w:hanging="420"/>
    </w:pPr>
    <w:rPr>
      <w:sz w:val="24"/>
      <w:szCs w:val="24"/>
    </w:rPr>
  </w:style>
  <w:style w:type="paragraph" w:customStyle="1" w:styleId="90">
    <w:name w:val="xl54"/>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kern w:val="0"/>
      <w:sz w:val="20"/>
    </w:rPr>
  </w:style>
  <w:style w:type="paragraph" w:customStyle="1" w:styleId="91">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kern w:val="0"/>
      <w:sz w:val="20"/>
    </w:rPr>
  </w:style>
  <w:style w:type="paragraph" w:customStyle="1" w:styleId="92">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rPr>
  </w:style>
  <w:style w:type="paragraph" w:customStyle="1" w:styleId="93">
    <w:name w:val="Char Char1 Char Char Char Char Char Char Char Char"/>
    <w:basedOn w:val="1"/>
    <w:qFormat/>
    <w:uiPriority w:val="0"/>
    <w:pPr>
      <w:widowControl/>
      <w:spacing w:after="160" w:line="240" w:lineRule="exact"/>
      <w:jc w:val="left"/>
    </w:pPr>
    <w:rPr>
      <w:rFonts w:ascii="Verdana" w:hAnsi="Verdana"/>
      <w:kern w:val="0"/>
      <w:sz w:val="18"/>
      <w:lang w:eastAsia="en-US"/>
    </w:rPr>
  </w:style>
  <w:style w:type="paragraph" w:customStyle="1" w:styleId="94">
    <w:name w:val="font13"/>
    <w:basedOn w:val="1"/>
    <w:qFormat/>
    <w:uiPriority w:val="0"/>
    <w:pPr>
      <w:widowControl/>
      <w:spacing w:before="100" w:beforeAutospacing="1" w:after="100" w:afterAutospacing="1"/>
      <w:jc w:val="left"/>
    </w:pPr>
    <w:rPr>
      <w:rFonts w:eastAsia="Arial Unicode MS"/>
      <w:i/>
      <w:iCs/>
      <w:color w:val="000000"/>
      <w:kern w:val="0"/>
      <w:szCs w:val="21"/>
    </w:rPr>
  </w:style>
  <w:style w:type="paragraph" w:customStyle="1" w:styleId="95">
    <w:name w:val="文档正文"/>
    <w:basedOn w:val="1"/>
    <w:qFormat/>
    <w:uiPriority w:val="0"/>
    <w:pPr>
      <w:adjustRightInd w:val="0"/>
      <w:snapToGrid w:val="0"/>
      <w:spacing w:line="360" w:lineRule="atLeast"/>
      <w:ind w:firstLine="567"/>
      <w:jc w:val="left"/>
    </w:pPr>
    <w:rPr>
      <w:rFonts w:hint="eastAsia" w:ascii="宋体"/>
      <w:color w:val="000000"/>
      <w:kern w:val="0"/>
      <w:sz w:val="24"/>
    </w:rPr>
  </w:style>
  <w:style w:type="paragraph" w:customStyle="1" w:styleId="96">
    <w:name w:val="xl4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0"/>
    </w:rPr>
  </w:style>
  <w:style w:type="paragraph" w:customStyle="1" w:styleId="97">
    <w:name w:val="批注框文本 Char Char"/>
    <w:basedOn w:val="1"/>
    <w:qFormat/>
    <w:uiPriority w:val="0"/>
    <w:rPr>
      <w:sz w:val="18"/>
    </w:rPr>
  </w:style>
  <w:style w:type="paragraph" w:customStyle="1" w:styleId="98">
    <w:name w:val="xl5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20"/>
    </w:rPr>
  </w:style>
  <w:style w:type="paragraph" w:customStyle="1" w:styleId="99">
    <w:name w:val="xl58"/>
    <w:basedOn w:val="1"/>
    <w:qFormat/>
    <w:uiPriority w:val="0"/>
    <w:pPr>
      <w:widowControl/>
      <w:pBdr>
        <w:top w:val="single" w:color="auto" w:sz="8" w:space="0"/>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100">
    <w:name w:val="样式 标题 2 + 段前: 1 行 段后: 1 行"/>
    <w:basedOn w:val="4"/>
    <w:qFormat/>
    <w:uiPriority w:val="0"/>
    <w:pPr>
      <w:tabs>
        <w:tab w:val="left" w:pos="1296"/>
      </w:tabs>
      <w:autoSpaceDE/>
      <w:autoSpaceDN/>
      <w:adjustRightInd/>
      <w:spacing w:beforeLines="100" w:afterLines="100" w:line="360" w:lineRule="auto"/>
      <w:ind w:left="1296" w:hanging="576"/>
      <w:jc w:val="both"/>
    </w:pPr>
    <w:rPr>
      <w:rFonts w:cs="宋体"/>
      <w:bCs/>
      <w:spacing w:val="10"/>
      <w:kern w:val="2"/>
      <w:szCs w:val="30"/>
    </w:rPr>
  </w:style>
  <w:style w:type="paragraph" w:customStyle="1" w:styleId="101">
    <w:name w:val="xl3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color w:val="FF0000"/>
      <w:kern w:val="0"/>
      <w:sz w:val="20"/>
    </w:rPr>
  </w:style>
  <w:style w:type="paragraph" w:customStyle="1" w:styleId="102">
    <w:name w:val="xl36"/>
    <w:basedOn w:val="1"/>
    <w:qFormat/>
    <w:uiPriority w:val="0"/>
    <w:pPr>
      <w:widowControl/>
      <w:pBdr>
        <w:top w:val="single" w:color="auto" w:sz="4" w:space="0"/>
        <w:left w:val="single" w:color="auto" w:sz="4" w:space="0"/>
        <w:bottom w:val="single" w:color="auto" w:sz="4" w:space="0"/>
        <w:right w:val="single" w:color="auto" w:sz="4" w:space="0"/>
      </w:pBdr>
      <w:shd w:val="clear" w:color="auto" w:fill="33CCCC"/>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03">
    <w:name w:val="正文缩进2"/>
    <w:basedOn w:val="13"/>
    <w:qFormat/>
    <w:uiPriority w:val="0"/>
    <w:pPr>
      <w:tabs>
        <w:tab w:val="left" w:pos="420"/>
      </w:tabs>
      <w:spacing w:after="120" w:line="360" w:lineRule="auto"/>
      <w:ind w:left="420" w:hanging="420" w:firstLineChars="0"/>
    </w:pPr>
    <w:rPr>
      <w:sz w:val="24"/>
    </w:rPr>
  </w:style>
  <w:style w:type="paragraph" w:customStyle="1" w:styleId="104">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33CCCC"/>
      <w:spacing w:before="100" w:beforeAutospacing="1" w:after="100" w:afterAutospacing="1"/>
      <w:jc w:val="center"/>
    </w:pPr>
    <w:rPr>
      <w:rFonts w:ascii="Arial Unicode MS" w:hAnsi="Arial Unicode MS" w:eastAsia="Arial Unicode MS" w:cs="Arial Unicode MS"/>
      <w:b/>
      <w:bCs/>
      <w:kern w:val="0"/>
      <w:sz w:val="24"/>
      <w:szCs w:val="24"/>
    </w:rPr>
  </w:style>
  <w:style w:type="paragraph" w:customStyle="1" w:styleId="105">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20"/>
    </w:rPr>
  </w:style>
  <w:style w:type="paragraph" w:customStyle="1" w:styleId="106">
    <w:name w:val="xl61"/>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07">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rPr>
  </w:style>
  <w:style w:type="paragraph" w:customStyle="1" w:styleId="108">
    <w:name w:val="text5"/>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09">
    <w:name w:val="Char Char Char"/>
    <w:basedOn w:val="1"/>
    <w:qFormat/>
    <w:uiPriority w:val="0"/>
    <w:rPr>
      <w:rFonts w:ascii="Tahoma" w:hAnsi="Tahoma"/>
      <w:sz w:val="24"/>
    </w:rPr>
  </w:style>
  <w:style w:type="paragraph" w:customStyle="1" w:styleId="110">
    <w:name w:val="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111">
    <w:name w:val="默认段落字体 Para Char Char Char Char Char Char Char Char Char1 Char Char Char Char Char Char Char"/>
    <w:basedOn w:val="1"/>
    <w:qFormat/>
    <w:uiPriority w:val="0"/>
    <w:rPr>
      <w:b/>
      <w:bCs/>
      <w:sz w:val="36"/>
      <w:szCs w:val="32"/>
    </w:rPr>
  </w:style>
  <w:style w:type="paragraph" w:customStyle="1" w:styleId="112">
    <w:name w:val="font8"/>
    <w:basedOn w:val="1"/>
    <w:qFormat/>
    <w:uiPriority w:val="0"/>
    <w:pPr>
      <w:widowControl/>
      <w:spacing w:before="100" w:beforeAutospacing="1" w:after="100" w:afterAutospacing="1"/>
      <w:jc w:val="left"/>
    </w:pPr>
    <w:rPr>
      <w:rFonts w:hint="eastAsia" w:ascii="宋体" w:hAnsi="宋体" w:cs="Arial Unicode MS"/>
      <w:color w:val="000000"/>
      <w:kern w:val="0"/>
      <w:sz w:val="20"/>
    </w:rPr>
  </w:style>
  <w:style w:type="paragraph" w:customStyle="1" w:styleId="113">
    <w:name w:val="正文（首行缩进）"/>
    <w:basedOn w:val="1"/>
    <w:qFormat/>
    <w:uiPriority w:val="0"/>
    <w:pPr>
      <w:adjustRightInd w:val="0"/>
      <w:spacing w:line="360" w:lineRule="auto"/>
      <w:ind w:firstLine="200" w:firstLineChars="200"/>
      <w:textAlignment w:val="baseline"/>
    </w:pPr>
    <w:rPr>
      <w:rFonts w:eastAsia="仿宋_GB2312"/>
      <w:sz w:val="24"/>
    </w:rPr>
  </w:style>
  <w:style w:type="paragraph" w:customStyle="1" w:styleId="114">
    <w:name w:val="Char1"/>
    <w:basedOn w:val="1"/>
    <w:qFormat/>
    <w:uiPriority w:val="0"/>
    <w:pPr>
      <w:tabs>
        <w:tab w:val="left" w:pos="420"/>
      </w:tabs>
      <w:ind w:left="420" w:hanging="420"/>
    </w:pPr>
    <w:rPr>
      <w:rFonts w:ascii="Tahoma" w:hAnsi="Tahoma" w:cs="Tahoma"/>
      <w:sz w:val="28"/>
      <w:szCs w:val="28"/>
    </w:rPr>
  </w:style>
  <w:style w:type="paragraph" w:customStyle="1" w:styleId="115">
    <w:name w:val="xl32"/>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kern w:val="0"/>
      <w:sz w:val="20"/>
    </w:rPr>
  </w:style>
  <w:style w:type="paragraph" w:customStyle="1" w:styleId="116">
    <w:name w:val="xl43"/>
    <w:basedOn w:val="1"/>
    <w:qFormat/>
    <w:uiPriority w:val="0"/>
    <w:pPr>
      <w:widowControl/>
      <w:pBdr>
        <w:left w:val="single" w:color="auto" w:sz="4" w:space="0"/>
        <w:bottom w:val="single" w:color="auto" w:sz="4" w:space="0"/>
        <w:right w:val="single" w:color="auto" w:sz="4" w:space="0"/>
      </w:pBdr>
      <w:shd w:val="clear" w:color="auto" w:fill="FFFF99"/>
      <w:spacing w:before="100" w:beforeAutospacing="1" w:after="100" w:afterAutospacing="1"/>
      <w:jc w:val="center"/>
    </w:pPr>
    <w:rPr>
      <w:rFonts w:ascii="Arial Unicode MS" w:hAnsi="Arial Unicode MS" w:eastAsia="Arial Unicode MS" w:cs="Arial Unicode MS"/>
      <w:kern w:val="0"/>
      <w:sz w:val="20"/>
    </w:rPr>
  </w:style>
  <w:style w:type="paragraph" w:customStyle="1" w:styleId="117">
    <w:name w:val="xl28"/>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center"/>
    </w:pPr>
    <w:rPr>
      <w:rFonts w:ascii="宋体" w:hAnsi="宋体"/>
      <w:kern w:val="0"/>
      <w:sz w:val="20"/>
    </w:rPr>
  </w:style>
  <w:style w:type="paragraph" w:customStyle="1" w:styleId="118">
    <w:name w:val="正文（标记） Char"/>
    <w:basedOn w:val="1"/>
    <w:qFormat/>
    <w:uiPriority w:val="0"/>
    <w:pPr>
      <w:tabs>
        <w:tab w:val="left" w:pos="840"/>
      </w:tabs>
      <w:spacing w:beforeLines="50" w:afterLines="50"/>
      <w:ind w:left="840" w:hanging="420"/>
    </w:pPr>
    <w:rPr>
      <w:sz w:val="24"/>
      <w:szCs w:val="24"/>
    </w:rPr>
  </w:style>
  <w:style w:type="paragraph" w:customStyle="1" w:styleId="119">
    <w:name w:val="xl44"/>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pPr>
    <w:rPr>
      <w:rFonts w:ascii="Arial Unicode MS" w:hAnsi="Arial Unicode MS" w:eastAsia="Arial Unicode MS" w:cs="Arial Unicode MS"/>
      <w:kern w:val="0"/>
      <w:sz w:val="20"/>
    </w:rPr>
  </w:style>
  <w:style w:type="paragraph" w:customStyle="1" w:styleId="120">
    <w:name w:val="font7"/>
    <w:basedOn w:val="1"/>
    <w:qFormat/>
    <w:uiPriority w:val="0"/>
    <w:pPr>
      <w:widowControl/>
      <w:spacing w:before="100" w:beforeAutospacing="1" w:after="100" w:afterAutospacing="1"/>
      <w:jc w:val="left"/>
    </w:pPr>
    <w:rPr>
      <w:rFonts w:hint="eastAsia" w:ascii="宋体" w:hAnsi="宋体" w:cs="Arial Unicode MS"/>
      <w:kern w:val="0"/>
      <w:sz w:val="20"/>
    </w:rPr>
  </w:style>
  <w:style w:type="paragraph" w:customStyle="1" w:styleId="121">
    <w:name w:val="List Paragraph1"/>
    <w:basedOn w:val="1"/>
    <w:qFormat/>
    <w:uiPriority w:val="0"/>
    <w:pPr>
      <w:ind w:firstLine="420" w:firstLineChars="200"/>
    </w:pPr>
    <w:rPr>
      <w:rFonts w:ascii="Calibri" w:hAnsi="Calibri"/>
      <w:szCs w:val="22"/>
    </w:rPr>
  </w:style>
  <w:style w:type="paragraph" w:customStyle="1" w:styleId="122">
    <w:name w:val="prop1"/>
    <w:basedOn w:val="6"/>
    <w:qFormat/>
    <w:uiPriority w:val="0"/>
    <w:pPr>
      <w:numPr>
        <w:ilvl w:val="0"/>
        <w:numId w:val="3"/>
      </w:numPr>
      <w:spacing w:line="360" w:lineRule="auto"/>
    </w:pPr>
    <w:rPr>
      <w:bCs w:val="0"/>
      <w:szCs w:val="20"/>
    </w:rPr>
  </w:style>
  <w:style w:type="paragraph" w:customStyle="1" w:styleId="123">
    <w:name w:val="font15"/>
    <w:basedOn w:val="1"/>
    <w:qFormat/>
    <w:uiPriority w:val="0"/>
    <w:pPr>
      <w:widowControl/>
      <w:spacing w:before="100" w:beforeAutospacing="1" w:after="100" w:afterAutospacing="1"/>
      <w:jc w:val="left"/>
    </w:pPr>
    <w:rPr>
      <w:rFonts w:hint="eastAsia" w:ascii="宋体" w:hAnsi="宋体" w:cs="Arial Unicode MS"/>
      <w:i/>
      <w:iCs/>
      <w:kern w:val="0"/>
      <w:szCs w:val="21"/>
    </w:rPr>
  </w:style>
  <w:style w:type="paragraph" w:customStyle="1" w:styleId="124">
    <w:name w:val="xl4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0"/>
    </w:rPr>
  </w:style>
  <w:style w:type="paragraph" w:customStyle="1" w:styleId="125">
    <w:name w:val="xl40"/>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jc w:val="left"/>
    </w:pPr>
    <w:rPr>
      <w:rFonts w:ascii="Arial Unicode MS" w:hAnsi="Arial Unicode MS" w:eastAsia="Arial Unicode MS" w:cs="Arial Unicode MS"/>
      <w:kern w:val="0"/>
      <w:sz w:val="20"/>
    </w:rPr>
  </w:style>
  <w:style w:type="paragraph" w:customStyle="1" w:styleId="126">
    <w:name w:val="正文2"/>
    <w:basedOn w:val="1"/>
    <w:qFormat/>
    <w:uiPriority w:val="0"/>
    <w:pPr>
      <w:tabs>
        <w:tab w:val="left" w:pos="900"/>
      </w:tabs>
      <w:spacing w:line="360" w:lineRule="auto"/>
      <w:ind w:firstLine="480" w:firstLineChars="200"/>
    </w:pPr>
    <w:rPr>
      <w:rFonts w:ascii="宋体"/>
      <w:color w:val="000000"/>
      <w:sz w:val="24"/>
    </w:rPr>
  </w:style>
  <w:style w:type="paragraph" w:customStyle="1" w:styleId="127">
    <w:name w:val="xl35"/>
    <w:basedOn w:val="1"/>
    <w:qFormat/>
    <w:uiPriority w:val="0"/>
    <w:pPr>
      <w:widowControl/>
      <w:pBdr>
        <w:top w:val="single" w:color="auto" w:sz="4" w:space="0"/>
        <w:left w:val="single" w:color="auto" w:sz="4" w:space="0"/>
        <w:bottom w:val="single" w:color="auto" w:sz="4" w:space="0"/>
        <w:right w:val="single" w:color="auto" w:sz="4" w:space="0"/>
      </w:pBdr>
      <w:shd w:val="clear" w:color="auto" w:fill="33CCCC"/>
      <w:spacing w:before="100" w:beforeAutospacing="1" w:after="100" w:afterAutospacing="1"/>
      <w:jc w:val="left"/>
      <w:textAlignment w:val="center"/>
    </w:pPr>
    <w:rPr>
      <w:rFonts w:ascii="Arial Unicode MS" w:hAnsi="Arial Unicode MS" w:eastAsia="Arial Unicode MS" w:cs="Arial Unicode MS"/>
      <w:kern w:val="0"/>
      <w:sz w:val="24"/>
      <w:szCs w:val="24"/>
    </w:rPr>
  </w:style>
  <w:style w:type="paragraph" w:customStyle="1" w:styleId="128">
    <w:name w:val="font12"/>
    <w:basedOn w:val="1"/>
    <w:qFormat/>
    <w:uiPriority w:val="0"/>
    <w:pPr>
      <w:widowControl/>
      <w:spacing w:before="100" w:beforeAutospacing="1" w:after="100" w:afterAutospacing="1"/>
      <w:jc w:val="left"/>
    </w:pPr>
    <w:rPr>
      <w:rFonts w:eastAsia="Arial Unicode MS"/>
      <w:color w:val="000000"/>
      <w:kern w:val="0"/>
      <w:szCs w:val="21"/>
    </w:rPr>
  </w:style>
  <w:style w:type="paragraph" w:customStyle="1" w:styleId="129">
    <w:name w:val="xl63"/>
    <w:basedOn w:val="1"/>
    <w:qFormat/>
    <w:uiPriority w:val="0"/>
    <w:pPr>
      <w:widowControl/>
      <w:pBdr>
        <w:top w:val="single" w:color="auto" w:sz="8" w:space="0"/>
        <w:left w:val="single" w:color="auto" w:sz="4" w:space="0"/>
        <w:bottom w:val="single" w:color="auto" w:sz="8" w:space="0"/>
        <w:right w:val="single" w:color="auto" w:sz="4" w:space="0"/>
      </w:pBdr>
      <w:shd w:val="clear" w:color="auto" w:fill="CCFFCC"/>
      <w:spacing w:before="100" w:beforeAutospacing="1" w:after="100" w:afterAutospacing="1"/>
      <w:jc w:val="center"/>
    </w:pPr>
    <w:rPr>
      <w:rFonts w:ascii="Arial Unicode MS" w:hAnsi="Arial Unicode MS" w:eastAsia="Arial Unicode MS" w:cs="Arial Unicode MS"/>
      <w:kern w:val="0"/>
      <w:sz w:val="20"/>
    </w:rPr>
  </w:style>
  <w:style w:type="paragraph" w:customStyle="1" w:styleId="130">
    <w:name w:val="xl4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Arial Unicode MS" w:hAnsi="Arial Unicode MS" w:eastAsia="Arial Unicode MS" w:cs="Arial Unicode MS"/>
      <w:b/>
      <w:bCs/>
      <w:kern w:val="0"/>
      <w:sz w:val="20"/>
    </w:rPr>
  </w:style>
  <w:style w:type="paragraph" w:customStyle="1" w:styleId="131">
    <w:name w:val="my正文"/>
    <w:basedOn w:val="18"/>
    <w:qFormat/>
    <w:uiPriority w:val="0"/>
    <w:pPr>
      <w:adjustRightInd w:val="0"/>
      <w:snapToGrid/>
      <w:spacing w:line="360" w:lineRule="auto"/>
      <w:ind w:firstLine="225" w:firstLineChars="225"/>
      <w:textAlignment w:val="baseline"/>
    </w:pPr>
    <w:rPr>
      <w:rFonts w:hint="eastAsia" w:ascii="宋体"/>
      <w:sz w:val="24"/>
    </w:rPr>
  </w:style>
  <w:style w:type="paragraph" w:customStyle="1" w:styleId="132">
    <w:name w:val="xl31"/>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kern w:val="0"/>
      <w:sz w:val="20"/>
    </w:rPr>
  </w:style>
  <w:style w:type="paragraph" w:customStyle="1" w:styleId="133">
    <w:name w:val="xl52"/>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kern w:val="0"/>
      <w:sz w:val="20"/>
    </w:rPr>
  </w:style>
  <w:style w:type="paragraph" w:customStyle="1" w:styleId="134">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rPr>
  </w:style>
  <w:style w:type="paragraph" w:customStyle="1" w:styleId="135">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20"/>
    </w:rPr>
  </w:style>
  <w:style w:type="paragraph" w:customStyle="1" w:styleId="136">
    <w:name w:val="xl60"/>
    <w:basedOn w:val="1"/>
    <w:qFormat/>
    <w:uiPriority w:val="0"/>
    <w:pPr>
      <w:widowControl/>
      <w:pBdr>
        <w:top w:val="single" w:color="auto" w:sz="4" w:space="0"/>
        <w:bottom w:val="single" w:color="auto" w:sz="4" w:space="0"/>
      </w:pBdr>
      <w:shd w:val="clear" w:color="auto" w:fill="FFFF99"/>
      <w:spacing w:before="100" w:beforeAutospacing="1" w:after="100" w:afterAutospacing="1"/>
      <w:jc w:val="left"/>
    </w:pPr>
    <w:rPr>
      <w:rFonts w:ascii="Arial Unicode MS" w:hAnsi="Arial Unicode MS" w:eastAsia="Arial Unicode MS" w:cs="Arial Unicode MS"/>
      <w:b/>
      <w:bCs/>
      <w:kern w:val="0"/>
      <w:sz w:val="20"/>
    </w:rPr>
  </w:style>
  <w:style w:type="paragraph" w:customStyle="1" w:styleId="137">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8">
    <w:name w:val="正文1"/>
    <w:qFormat/>
    <w:uiPriority w:val="0"/>
    <w:pPr>
      <w:adjustRightInd w:val="0"/>
      <w:jc w:val="center"/>
      <w:textAlignment w:val="baseline"/>
    </w:pPr>
    <w:rPr>
      <w:rFonts w:ascii="Times New Roman" w:hAnsi="Times New Roman" w:eastAsia="宋体" w:cs="Times New Roman"/>
      <w:kern w:val="28"/>
      <w:sz w:val="21"/>
      <w:lang w:val="en-US" w:eastAsia="zh-CN" w:bidi="ar-SA"/>
    </w:rPr>
  </w:style>
  <w:style w:type="paragraph" w:customStyle="1" w:styleId="139">
    <w:name w:val="Char1 Char Char"/>
    <w:basedOn w:val="1"/>
    <w:qFormat/>
    <w:uiPriority w:val="0"/>
    <w:pPr>
      <w:tabs>
        <w:tab w:val="left" w:pos="420"/>
      </w:tabs>
      <w:ind w:left="420" w:hanging="420"/>
    </w:pPr>
    <w:rPr>
      <w:rFonts w:ascii="Tahoma" w:hAnsi="Tahoma" w:cs="Tahoma"/>
      <w:sz w:val="28"/>
      <w:szCs w:val="28"/>
    </w:rPr>
  </w:style>
  <w:style w:type="paragraph" w:customStyle="1" w:styleId="140">
    <w:name w:val="xl48"/>
    <w:basedOn w:val="1"/>
    <w:qFormat/>
    <w:uiPriority w:val="0"/>
    <w:pPr>
      <w:widowControl/>
      <w:pBdr>
        <w:top w:val="single" w:color="auto" w:sz="4" w:space="0"/>
        <w:left w:val="single" w:color="auto" w:sz="4" w:space="0"/>
        <w:bottom w:val="single" w:color="auto" w:sz="4" w:space="0"/>
        <w:right w:val="single" w:color="auto" w:sz="8" w:space="0"/>
      </w:pBdr>
      <w:shd w:val="clear" w:color="auto" w:fill="FFFF99"/>
      <w:spacing w:before="100" w:beforeAutospacing="1" w:after="100" w:afterAutospacing="1"/>
      <w:jc w:val="center"/>
    </w:pPr>
    <w:rPr>
      <w:rFonts w:ascii="Arial Unicode MS" w:hAnsi="Arial Unicode MS" w:eastAsia="Arial Unicode MS" w:cs="Arial Unicode MS"/>
      <w:b/>
      <w:bCs/>
      <w:kern w:val="0"/>
      <w:sz w:val="20"/>
    </w:rPr>
  </w:style>
  <w:style w:type="paragraph" w:customStyle="1" w:styleId="141">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rPr>
  </w:style>
  <w:style w:type="paragraph" w:customStyle="1" w:styleId="142">
    <w:name w:val="Char"/>
    <w:basedOn w:val="1"/>
    <w:qFormat/>
    <w:uiPriority w:val="0"/>
    <w:pPr>
      <w:tabs>
        <w:tab w:val="left" w:pos="360"/>
      </w:tabs>
      <w:ind w:left="360" w:hanging="360" w:hangingChars="200"/>
    </w:pPr>
    <w:rPr>
      <w:sz w:val="24"/>
      <w:szCs w:val="24"/>
    </w:rPr>
  </w:style>
  <w:style w:type="paragraph" w:customStyle="1" w:styleId="143">
    <w:name w:val="Char Char Char Char1"/>
    <w:basedOn w:val="1"/>
    <w:qFormat/>
    <w:uiPriority w:val="0"/>
    <w:pPr>
      <w:tabs>
        <w:tab w:val="left" w:pos="420"/>
      </w:tabs>
      <w:ind w:left="420" w:hanging="420"/>
    </w:pPr>
    <w:rPr>
      <w:rFonts w:ascii="Tahoma" w:hAnsi="Tahoma" w:cs="Tahoma"/>
      <w:sz w:val="28"/>
      <w:szCs w:val="28"/>
    </w:rPr>
  </w:style>
  <w:style w:type="paragraph" w:customStyle="1" w:styleId="144">
    <w:name w:val="题目项目"/>
    <w:basedOn w:val="1"/>
    <w:qFormat/>
    <w:uiPriority w:val="0"/>
    <w:pPr>
      <w:numPr>
        <w:ilvl w:val="0"/>
        <w:numId w:val="4"/>
      </w:numPr>
      <w:tabs>
        <w:tab w:val="left" w:pos="885"/>
        <w:tab w:val="clear" w:pos="502"/>
      </w:tabs>
      <w:spacing w:before="312" w:after="156"/>
    </w:pPr>
  </w:style>
  <w:style w:type="paragraph" w:customStyle="1" w:styleId="145">
    <w:name w:val="xl2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kern w:val="0"/>
      <w:sz w:val="20"/>
    </w:rPr>
  </w:style>
  <w:style w:type="paragraph" w:customStyle="1" w:styleId="146">
    <w:name w:val="样式 仿宋_GB2312 行距: 1.5 倍行距"/>
    <w:basedOn w:val="1"/>
    <w:qFormat/>
    <w:uiPriority w:val="0"/>
    <w:pPr>
      <w:adjustRightInd w:val="0"/>
      <w:snapToGrid w:val="0"/>
      <w:spacing w:line="520" w:lineRule="exact"/>
      <w:ind w:firstLine="560" w:firstLineChars="200"/>
    </w:pPr>
    <w:rPr>
      <w:rFonts w:eastAsia="仿宋_GB2312"/>
      <w:sz w:val="28"/>
    </w:rPr>
  </w:style>
  <w:style w:type="paragraph" w:styleId="147">
    <w:name w:val="List Paragraph"/>
    <w:basedOn w:val="1"/>
    <w:qFormat/>
    <w:uiPriority w:val="99"/>
    <w:pPr>
      <w:ind w:firstLine="420" w:firstLineChars="200"/>
    </w:pPr>
  </w:style>
  <w:style w:type="character" w:customStyle="1" w:styleId="148">
    <w:name w:val="标题 1 字符"/>
    <w:qFormat/>
    <w:uiPriority w:val="0"/>
    <w:rPr>
      <w:rFonts w:ascii="宋体" w:hAnsi="宋体" w:eastAsia="宋体"/>
      <w:b/>
      <w:kern w:val="44"/>
      <w:sz w:val="24"/>
    </w:rPr>
  </w:style>
  <w:style w:type="character" w:customStyle="1" w:styleId="149">
    <w:name w:val="标题 2 Char"/>
    <w:link w:val="4"/>
    <w:qFormat/>
    <w:uiPriority w:val="0"/>
    <w:rPr>
      <w:rFonts w:ascii="Arial" w:hAnsi="Arial" w:eastAsia="黑体"/>
      <w:b/>
      <w:sz w:val="30"/>
      <w:lang w:val="en-US" w:eastAsia="zh-CN" w:bidi="ar-SA"/>
    </w:rPr>
  </w:style>
  <w:style w:type="character" w:customStyle="1" w:styleId="150">
    <w:name w:val="标题 4 Char"/>
    <w:link w:val="6"/>
    <w:qFormat/>
    <w:uiPriority w:val="0"/>
    <w:rPr>
      <w:rFonts w:ascii="Arial" w:hAnsi="Arial" w:eastAsia="黑体"/>
      <w:b/>
      <w:bCs/>
      <w:kern w:val="2"/>
      <w:sz w:val="28"/>
      <w:szCs w:val="28"/>
      <w:lang w:val="en-US" w:eastAsia="zh-CN" w:bidi="ar-SA"/>
    </w:rPr>
  </w:style>
  <w:style w:type="character" w:customStyle="1" w:styleId="151">
    <w:name w:val="my正文 Char"/>
    <w:qFormat/>
    <w:uiPriority w:val="0"/>
    <w:rPr>
      <w:rFonts w:hint="eastAsia" w:ascii="宋体" w:eastAsia="宋体"/>
      <w:sz w:val="24"/>
      <w:lang w:val="en-US" w:eastAsia="zh-CN"/>
    </w:rPr>
  </w:style>
  <w:style w:type="character" w:customStyle="1" w:styleId="152">
    <w:name w:val="页脚 Char"/>
    <w:link w:val="26"/>
    <w:qFormat/>
    <w:uiPriority w:val="0"/>
    <w:rPr>
      <w:rFonts w:eastAsia="宋体"/>
      <w:sz w:val="18"/>
      <w:lang w:val="en-US" w:eastAsia="zh-CN" w:bidi="ar-SA"/>
    </w:rPr>
  </w:style>
  <w:style w:type="character" w:customStyle="1" w:styleId="153">
    <w:name w:val="正文（缩进） Char Char"/>
    <w:link w:val="53"/>
    <w:qFormat/>
    <w:uiPriority w:val="0"/>
    <w:rPr>
      <w:rFonts w:eastAsia="宋体"/>
      <w:kern w:val="2"/>
      <w:sz w:val="24"/>
      <w:szCs w:val="24"/>
      <w:lang w:val="en-US" w:eastAsia="zh-CN" w:bidi="ar-SA"/>
    </w:rPr>
  </w:style>
  <w:style w:type="character" w:customStyle="1" w:styleId="154">
    <w:name w:val="标题2 Char"/>
    <w:qFormat/>
    <w:uiPriority w:val="0"/>
    <w:rPr>
      <w:rFonts w:ascii="Arial" w:hAnsi="Arial" w:eastAsia="黑体"/>
      <w:b/>
      <w:sz w:val="28"/>
      <w:szCs w:val="28"/>
      <w:lang w:val="en-US" w:eastAsia="zh-CN" w:bidi="ar-SA"/>
    </w:rPr>
  </w:style>
  <w:style w:type="character" w:customStyle="1" w:styleId="155">
    <w:name w:val="标题 1 Char"/>
    <w:qFormat/>
    <w:uiPriority w:val="0"/>
    <w:rPr>
      <w:rFonts w:ascii="Arial" w:hAnsi="Arial" w:eastAsia="黑体" w:cs="Arial"/>
      <w:bCs/>
      <w:color w:val="000000"/>
      <w:sz w:val="36"/>
      <w:szCs w:val="30"/>
      <w:lang w:val="en-US" w:eastAsia="zh-CN" w:bidi="ar-SA"/>
    </w:rPr>
  </w:style>
  <w:style w:type="character" w:customStyle="1" w:styleId="156">
    <w:name w:val="p12"/>
    <w:basedOn w:val="45"/>
    <w:qFormat/>
    <w:uiPriority w:val="0"/>
  </w:style>
  <w:style w:type="character" w:customStyle="1" w:styleId="157">
    <w:name w:val="正文缩进 Char"/>
    <w:link w:val="13"/>
    <w:qFormat/>
    <w:uiPriority w:val="0"/>
    <w:rPr>
      <w:rFonts w:eastAsia="宋体"/>
      <w:kern w:val="2"/>
      <w:sz w:val="21"/>
      <w:lang w:val="en-US" w:eastAsia="zh-CN" w:bidi="ar-SA"/>
    </w:rPr>
  </w:style>
  <w:style w:type="character" w:customStyle="1" w:styleId="158">
    <w:name w:val="正文（缩进） Char1"/>
    <w:link w:val="54"/>
    <w:qFormat/>
    <w:uiPriority w:val="0"/>
    <w:rPr>
      <w:rFonts w:eastAsia="宋体"/>
      <w:kern w:val="2"/>
      <w:sz w:val="24"/>
      <w:szCs w:val="24"/>
      <w:lang w:val="en-US" w:eastAsia="zh-CN" w:bidi="ar-SA"/>
    </w:rPr>
  </w:style>
  <w:style w:type="character" w:customStyle="1" w:styleId="159">
    <w:name w:val="f101"/>
    <w:qFormat/>
    <w:uiPriority w:val="0"/>
    <w:rPr>
      <w:sz w:val="21"/>
      <w:szCs w:val="21"/>
    </w:rPr>
  </w:style>
  <w:style w:type="character" w:customStyle="1" w:styleId="160">
    <w:name w:val="纯文本 Char"/>
    <w:link w:val="21"/>
    <w:qFormat/>
    <w:uiPriority w:val="0"/>
    <w:rPr>
      <w:rFonts w:ascii="宋体" w:hAnsi="Courier New" w:eastAsia="宋体"/>
      <w:kern w:val="2"/>
      <w:sz w:val="21"/>
      <w:lang w:val="en-US" w:eastAsia="zh-CN" w:bidi="ar-SA"/>
    </w:rPr>
  </w:style>
  <w:style w:type="character" w:customStyle="1" w:styleId="161">
    <w:name w:val="正文文本缩进 Char"/>
    <w:link w:val="18"/>
    <w:qFormat/>
    <w:uiPriority w:val="0"/>
    <w:rPr>
      <w:rFonts w:eastAsia="仿宋_GB2312"/>
      <w:kern w:val="2"/>
      <w:sz w:val="28"/>
    </w:rPr>
  </w:style>
  <w:style w:type="character" w:customStyle="1" w:styleId="162">
    <w:name w:val="Text Char Char Char"/>
    <w:link w:val="55"/>
    <w:qFormat/>
    <w:uiPriority w:val="0"/>
    <w:rPr>
      <w:rFonts w:eastAsia="宋体"/>
      <w:sz w:val="24"/>
      <w:lang w:val="en-US" w:eastAsia="en-US" w:bidi="ar-SA"/>
    </w:rPr>
  </w:style>
  <w:style w:type="paragraph" w:customStyle="1" w:styleId="163">
    <w:name w:val="WPSOffice手动目录 1"/>
    <w:qFormat/>
    <w:uiPriority w:val="0"/>
    <w:rPr>
      <w:rFonts w:ascii="Times New Roman" w:hAnsi="Times New Roman" w:eastAsia="宋体" w:cs="Times New Roman"/>
      <w:lang w:val="en-US" w:eastAsia="zh-CN" w:bidi="ar-SA"/>
    </w:rPr>
  </w:style>
  <w:style w:type="character" w:customStyle="1" w:styleId="164">
    <w:name w:val="标题 1 Char1"/>
    <w:link w:val="3"/>
    <w:qFormat/>
    <w:uiPriority w:val="0"/>
    <w:rPr>
      <w:rFonts w:ascii="宋体"/>
      <w:b/>
      <w:kern w:val="44"/>
      <w:sz w:val="32"/>
      <w:szCs w:val="20"/>
    </w:rPr>
  </w:style>
  <w:style w:type="character" w:customStyle="1" w:styleId="165">
    <w:name w:val="标题 3 Char"/>
    <w:link w:val="5"/>
    <w:qFormat/>
    <w:uiPriority w:val="0"/>
    <w:rPr>
      <w:b/>
      <w:sz w:val="32"/>
    </w:rPr>
  </w:style>
  <w:style w:type="paragraph" w:customStyle="1" w:styleId="166">
    <w:name w:val="Default"/>
    <w:qFormat/>
    <w:uiPriority w:val="0"/>
    <w:pPr>
      <w:widowControl w:val="0"/>
      <w:autoSpaceDE w:val="0"/>
      <w:autoSpaceDN w:val="0"/>
      <w:adjustRightInd w:val="0"/>
    </w:pPr>
    <w:rPr>
      <w:rFonts w:ascii="Akzidenz Grotesk BQ" w:hAnsi="Akzidenz Grotesk BQ" w:eastAsia="宋体" w:cs="Akzidenz Grotesk BQ"/>
      <w:color w:val="000000"/>
      <w:sz w:val="24"/>
      <w:szCs w:val="24"/>
      <w:lang w:val="en-US" w:eastAsia="zh-CN" w:bidi="ar-SA"/>
    </w:rPr>
  </w:style>
  <w:style w:type="paragraph" w:customStyle="1" w:styleId="167">
    <w:name w:val="修订1"/>
    <w:hidden/>
    <w:semiHidden/>
    <w:qFormat/>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业务二处</Company>
  <Pages>65</Pages>
  <Words>28516</Words>
  <Characters>29968</Characters>
  <Lines>237</Lines>
  <Paragraphs>66</Paragraphs>
  <TotalTime>3</TotalTime>
  <ScaleCrop>false</ScaleCrop>
  <LinksUpToDate>false</LinksUpToDate>
  <CharactersWithSpaces>31321</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2019-03-06T02:12:00Z</dcterms:created>
  <dc:creator>yangxiaojing</dc:creator>
  <cp:lastModifiedBy>赵子翔</cp:lastModifiedBy>
  <cp:lastPrinted>2022-04-24T07:38:00Z</cp:lastPrinted>
  <dcterms:modified xsi:type="dcterms:W3CDTF">2022-06-14T06:18:33Z</dcterms:modified>
  <dc:title>竞争性谈判文件</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y fmtid="{D5CDD505-2E9C-101B-9397-08002B2CF9AE}" pid="3" name="KSOProductBuildVer">
    <vt:lpwstr>2052-11.1.0.11744</vt:lpwstr>
  </property>
  <property fmtid="{D5CDD505-2E9C-101B-9397-08002B2CF9AE}" pid="4" name="ICV">
    <vt:lpwstr>0CE92F2B6AF6449995D7B6E9D8F98139</vt:lpwstr>
  </property>
  <property fmtid="{D5CDD505-2E9C-101B-9397-08002B2CF9AE}" pid="5" name="commondata">
    <vt:lpwstr>eyJoZGlkIjoiMmM5YTAwZTk0OTUxYmMxNzQ3MWMwZjI2YjNlNGIzMjIifQ==</vt:lpwstr>
  </property>
</Properties>
</file>