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rFonts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《北京中轴线展览》文物运输服务项目</w:t>
      </w:r>
      <w:bookmarkStart w:id="7" w:name="_GoBack"/>
      <w:bookmarkEnd w:id="7"/>
      <w:r>
        <w:rPr>
          <w:rFonts w:hint="eastAsia" w:ascii="仿宋_GB2312" w:hAnsi="仿宋_GB2312" w:eastAsia="仿宋_GB2312" w:cs="仿宋_GB2312"/>
          <w:color w:val="auto"/>
          <w:highlight w:val="none"/>
        </w:rPr>
        <w:t>服务要求</w:t>
      </w:r>
    </w:p>
    <w:p>
      <w:pPr>
        <w:spacing w:line="360" w:lineRule="auto"/>
        <w:jc w:val="center"/>
        <w:rPr>
          <w:rFonts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（如本章内容与遴选文件其它章节内容有冲突，应以本部分内容为准。）</w:t>
      </w:r>
    </w:p>
    <w:p>
      <w:pPr>
        <w:rPr>
          <w:rFonts w:ascii="仿宋_GB2312" w:hAnsi="仿宋_GB2312" w:eastAsia="仿宋_GB2312" w:cs="仿宋_GB2312"/>
          <w:color w:val="auto"/>
          <w:sz w:val="24"/>
          <w:szCs w:val="24"/>
          <w:highlight w:val="none"/>
        </w:rPr>
      </w:pPr>
    </w:p>
    <w:p>
      <w:pPr>
        <w:numPr>
          <w:ilvl w:val="255"/>
          <w:numId w:val="0"/>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一、预算金额：人民币49.714万元</w:t>
      </w:r>
    </w:p>
    <w:p>
      <w:pPr>
        <w:numPr>
          <w:ilvl w:val="255"/>
          <w:numId w:val="0"/>
        </w:numPr>
        <w:spacing w:line="360" w:lineRule="auto"/>
        <w:rPr>
          <w:rFonts w:ascii="仿宋_GB2312" w:hAnsi="仿宋_GB2312" w:eastAsia="仿宋_GB2312" w:cs="仿宋_GB2312"/>
          <w:color w:val="auto"/>
          <w:sz w:val="24"/>
          <w:szCs w:val="24"/>
          <w:highlight w:val="none"/>
        </w:rPr>
      </w:pPr>
    </w:p>
    <w:p>
      <w:pPr>
        <w:numPr>
          <w:ilvl w:val="255"/>
          <w:numId w:val="0"/>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二、项目概况</w:t>
      </w:r>
    </w:p>
    <w:p>
      <w:pPr>
        <w:spacing w:line="360" w:lineRule="auto"/>
        <w:ind w:firstLine="360" w:firstLineChars="150"/>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highlight w:val="none"/>
        </w:rPr>
        <w:t>《北京中轴线展览》</w:t>
      </w:r>
      <w:r>
        <w:rPr>
          <w:rFonts w:hint="eastAsia" w:ascii="仿宋_GB2312" w:hAnsi="仿宋_GB2312" w:eastAsia="仿宋_GB2312" w:cs="仿宋_GB2312"/>
          <w:color w:val="auto"/>
          <w:sz w:val="24"/>
          <w:szCs w:val="22"/>
          <w:highlight w:val="none"/>
        </w:rPr>
        <w:t>拟</w:t>
      </w:r>
      <w:r>
        <w:rPr>
          <w:rFonts w:hint="eastAsia" w:ascii="仿宋_GB2312" w:hAnsi="仿宋_GB2312" w:eastAsia="仿宋_GB2312" w:cs="仿宋_GB2312"/>
          <w:color w:val="auto"/>
          <w:sz w:val="24"/>
          <w:szCs w:val="24"/>
          <w:highlight w:val="none"/>
        </w:rPr>
        <w:t>于2022年6月11日至 2022年12月11日在首都博物馆地上一层B展厅开幕，此次展览涉及到51组件外借文物，需供应商提供文物运输服务。包含的内容有提供包装材料、周转箱；包/拆装作业；18家单位至首都博物馆往返运输及车辆装卸；保安押运；协助布展/撤展等。</w:t>
      </w:r>
    </w:p>
    <w:p>
      <w:pPr>
        <w:spacing w:line="360" w:lineRule="auto"/>
        <w:rPr>
          <w:rFonts w:ascii="仿宋_GB2312" w:hAnsi="仿宋_GB2312" w:eastAsia="仿宋_GB2312" w:cs="仿宋_GB2312"/>
          <w:color w:val="auto"/>
          <w:sz w:val="24"/>
          <w:szCs w:val="24"/>
          <w:highlight w:val="none"/>
        </w:rPr>
      </w:pPr>
    </w:p>
    <w:p>
      <w:pPr>
        <w:numPr>
          <w:ilvl w:val="0"/>
          <w:numId w:val="1"/>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服务内容</w:t>
      </w:r>
    </w:p>
    <w:p>
      <w:pPr>
        <w:numPr>
          <w:ilvl w:val="255"/>
          <w:numId w:val="0"/>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1、运输路线具体见本章附件1。</w:t>
      </w:r>
    </w:p>
    <w:p>
      <w:pPr>
        <w:numPr>
          <w:ilvl w:val="255"/>
          <w:numId w:val="0"/>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2、本项目运输文物货量：文物展品51件/套，约10个立方，具体文物清单见本章附件2。</w:t>
      </w:r>
    </w:p>
    <w:p>
      <w:pPr>
        <w:spacing w:line="360" w:lineRule="auto"/>
        <w:jc w:val="center"/>
        <w:rPr>
          <w:rFonts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*3、供应商针对以下服务内容在响应文件中提交加盖供应商单位公章的承诺函原件，格式详见“第六部分附件－－响应文件的格式”的“*附件10服务承诺函”。</w:t>
      </w:r>
    </w:p>
    <w:p>
      <w:pPr>
        <w:numPr>
          <w:ilvl w:val="255"/>
          <w:numId w:val="0"/>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z w:val="24"/>
          <w:szCs w:val="24"/>
          <w:highlight w:val="none"/>
        </w:rPr>
        <w:t>供应商应提供的服务内容包含但不仅限于以下方面：</w:t>
      </w:r>
    </w:p>
    <w:p>
      <w:pPr>
        <w:spacing w:line="360" w:lineRule="auto"/>
        <w:rPr>
          <w:rFonts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①根据不同的文物需求提供专用、规范的包装材料和周转箱，按文物情况和立方数制作运输的外包装并负责展览文物的包/拆装作业；</w:t>
      </w:r>
    </w:p>
    <w:p>
      <w:pPr>
        <w:spacing w:line="360" w:lineRule="auto"/>
        <w:rPr>
          <w:rFonts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②负责18家单位至首都博物馆往返文物运输车辆及装卸作业；</w:t>
      </w:r>
    </w:p>
    <w:p>
      <w:pPr>
        <w:numPr>
          <w:ilvl w:val="255"/>
          <w:numId w:val="0"/>
        </w:numPr>
        <w:spacing w:line="360" w:lineRule="auto"/>
        <w:rPr>
          <w:rFonts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③负责文物往返运输的保安押运；</w:t>
      </w:r>
    </w:p>
    <w:p>
      <w:pPr>
        <w:numPr>
          <w:ilvl w:val="255"/>
          <w:numId w:val="0"/>
        </w:numPr>
        <w:spacing w:line="360" w:lineRule="auto"/>
        <w:rPr>
          <w:rFonts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④按采购人要求协助布展/撤展工作；</w:t>
      </w:r>
    </w:p>
    <w:p>
      <w:pPr>
        <w:numPr>
          <w:ilvl w:val="255"/>
          <w:numId w:val="0"/>
        </w:numPr>
        <w:spacing w:line="360" w:lineRule="auto"/>
        <w:rPr>
          <w:rFonts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⑤全力协助采购人办理保险（保险费用由采购人支付）等相关手续事项。</w:t>
      </w:r>
    </w:p>
    <w:p>
      <w:pPr>
        <w:numPr>
          <w:ilvl w:val="255"/>
          <w:numId w:val="0"/>
        </w:numPr>
        <w:spacing w:line="360" w:lineRule="auto"/>
        <w:rPr>
          <w:rFonts w:ascii="仿宋_GB2312" w:hAnsi="仿宋_GB2312" w:eastAsia="仿宋_GB2312" w:cs="仿宋_GB2312"/>
          <w:bCs/>
          <w:color w:val="auto"/>
          <w:sz w:val="24"/>
          <w:szCs w:val="24"/>
          <w:highlight w:val="none"/>
        </w:rPr>
      </w:pPr>
    </w:p>
    <w:p>
      <w:pPr>
        <w:numPr>
          <w:ilvl w:val="255"/>
          <w:numId w:val="0"/>
        </w:numPr>
        <w:spacing w:line="360" w:lineRule="auto"/>
        <w:rPr>
          <w:rFonts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四、服务要求</w:t>
      </w:r>
    </w:p>
    <w:p>
      <w:pPr>
        <w:spacing w:line="360" w:lineRule="auto"/>
        <w:contextualSpacing/>
        <w:rPr>
          <w:rFonts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*1、供应商应具有有效的《道路运输经营许可证》</w:t>
      </w:r>
    </w:p>
    <w:p>
      <w:pPr>
        <w:numPr>
          <w:ilvl w:val="255"/>
          <w:numId w:val="0"/>
        </w:numPr>
        <w:spacing w:line="360" w:lineRule="auto"/>
        <w:rPr>
          <w:rFonts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2、文物包装材料要求：根据文物特性采用的包装材料，应符合《文物运输包装规范》的国家标准（GB/T23862-2009），供应商必须针对此服务要求在响应文件中提交加盖供应商单位公章的承诺函原件,格式详见“第六部分附件－－响应文件的格式”的“*附件10服务承诺函”。</w:t>
      </w:r>
    </w:p>
    <w:p>
      <w:pPr>
        <w:numPr>
          <w:ilvl w:val="255"/>
          <w:numId w:val="0"/>
        </w:numPr>
        <w:spacing w:line="360" w:lineRule="auto"/>
        <w:rPr>
          <w:rFonts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3、文物运输要求：运输服务应全程符合《文物运输包装规范》的国家标准（GB/T23862-2009），供应商必须针对此服务要求在响应文件中提交加盖供应商单位公章的承诺函原件,格式详见“第六部分附件－－响应文件的格式”的“*附件10服务承诺函”。</w:t>
      </w:r>
    </w:p>
    <w:p>
      <w:pPr>
        <w:widowControl/>
        <w:adjustRightInd w:val="0"/>
        <w:snapToGrid w:val="0"/>
        <w:spacing w:line="360" w:lineRule="auto"/>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①运输方式：陆运。</w:t>
      </w:r>
    </w:p>
    <w:p>
      <w:pPr>
        <w:widowControl/>
        <w:adjustRightInd w:val="0"/>
        <w:snapToGrid w:val="0"/>
        <w:spacing w:line="360" w:lineRule="auto"/>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②运输车辆：车辆应为特制全封闭、配备气垫“减震”系统，配有温湿度控制装置，配备车辆尾部自动升降板，配有车内消防设备，具有 GPS 系统、具备远程监控、轨迹记录、报警和防盗反劫系统。</w:t>
      </w:r>
    </w:p>
    <w:p>
      <w:pPr>
        <w:widowControl/>
        <w:adjustRightInd w:val="0"/>
        <w:snapToGrid w:val="0"/>
        <w:spacing w:line="360" w:lineRule="auto"/>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③在车辆行驶过程中，车辆速度控制在60-80公里/小时之内，安排两名司机负责轮流驾驶，通过桥梁、转弯地段时车辆减速，保证安全通行。</w:t>
      </w:r>
    </w:p>
    <w:p>
      <w:pPr>
        <w:widowControl/>
        <w:adjustRightInd w:val="0"/>
        <w:snapToGrid w:val="0"/>
        <w:spacing w:line="360" w:lineRule="auto"/>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④提前根据各类文物的情况，设计好装车图，在车内固定操作过程中，根据文物箱的实际尺寸大小与重量，配合装车图确定装车顺序及各包装箱位置，保证车厢内重量分配与装货后车厢整体重心均匀平衡；车厢内木箱摆放方向为由车头方向向外整齐摆放，通过车厢内的专用挂钩，木箱以拉紧带固定在车厢内。</w:t>
      </w:r>
    </w:p>
    <w:p>
      <w:pPr>
        <w:widowControl/>
        <w:numPr>
          <w:ilvl w:val="255"/>
          <w:numId w:val="0"/>
        </w:numPr>
        <w:adjustRightInd w:val="0"/>
        <w:snapToGrid w:val="0"/>
        <w:spacing w:line="360" w:lineRule="auto"/>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该项目供应商需具有丰富的文物运输经验，能自行办理陆运的全部手续。作业过程中所使用的运输工具及装卸工具全部自理，由专业保安公司的保安人员全程随车往返武装押运，每辆文物运输车配备一名或一名以上具有由公安部监制的保安员证的专业保安押运人员。</w:t>
      </w:r>
    </w:p>
    <w:p>
      <w:pPr>
        <w:widowControl/>
        <w:numPr>
          <w:ilvl w:val="255"/>
          <w:numId w:val="0"/>
        </w:numPr>
        <w:adjustRightInd w:val="0"/>
        <w:snapToGrid w:val="0"/>
        <w:spacing w:line="360" w:lineRule="auto"/>
        <w:jc w:val="left"/>
        <w:rPr>
          <w:rFonts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供应商应保证成交后在与首博签订合同时，提供与响应文件中承诺的专业保安服务公司签订的合同复印件、随车的专业保安押运人员的保安员证书复印件、劳动合同复印件或社保缴纳证明复印件等能够证明保安服务公司与保安押运人员劳动关系的证明文件。供应商必须针对此服务要求在响应文件中提交加盖供应商单位公章的承诺函原件</w:t>
      </w:r>
      <w:r>
        <w:rPr>
          <w:rFonts w:ascii="仿宋_GB2312" w:hAnsi="仿宋_GB2312" w:eastAsia="仿宋_GB2312" w:cs="仿宋_GB2312"/>
          <w:b/>
          <w:bCs/>
          <w:color w:val="auto"/>
          <w:sz w:val="24"/>
          <w:szCs w:val="24"/>
          <w:highlight w:val="none"/>
        </w:rPr>
        <w:t>,格式详见“第六部分</w:t>
      </w:r>
      <w:r>
        <w:rPr>
          <w:rFonts w:hint="eastAsia" w:ascii="仿宋_GB2312" w:hAnsi="仿宋_GB2312" w:eastAsia="仿宋_GB2312" w:cs="仿宋_GB2312"/>
          <w:b/>
          <w:bCs/>
          <w:color w:val="auto"/>
          <w:sz w:val="24"/>
          <w:szCs w:val="24"/>
          <w:highlight w:val="none"/>
        </w:rPr>
        <w:t>附件－－响应文件的格式”的“</w:t>
      </w:r>
      <w:r>
        <w:rPr>
          <w:rFonts w:ascii="仿宋_GB2312" w:hAnsi="仿宋_GB2312" w:eastAsia="仿宋_GB2312" w:cs="仿宋_GB2312"/>
          <w:b/>
          <w:bCs/>
          <w:color w:val="auto"/>
          <w:sz w:val="24"/>
          <w:szCs w:val="24"/>
          <w:highlight w:val="none"/>
        </w:rPr>
        <w:t>*附件</w:t>
      </w:r>
      <w:r>
        <w:rPr>
          <w:rFonts w:hint="eastAsia" w:ascii="仿宋_GB2312" w:hAnsi="仿宋_GB2312" w:eastAsia="仿宋_GB2312" w:cs="仿宋_GB2312"/>
          <w:b/>
          <w:bCs/>
          <w:color w:val="auto"/>
          <w:sz w:val="24"/>
          <w:szCs w:val="24"/>
          <w:highlight w:val="none"/>
        </w:rPr>
        <w:t>10</w:t>
      </w:r>
      <w:r>
        <w:rPr>
          <w:rFonts w:ascii="仿宋_GB2312" w:hAnsi="仿宋_GB2312" w:eastAsia="仿宋_GB2312" w:cs="仿宋_GB2312"/>
          <w:b/>
          <w:bCs/>
          <w:color w:val="auto"/>
          <w:sz w:val="24"/>
          <w:szCs w:val="24"/>
          <w:highlight w:val="none"/>
        </w:rPr>
        <w:t>服务承诺函”。</w:t>
      </w:r>
    </w:p>
    <w:p>
      <w:pPr>
        <w:widowControl/>
        <w:numPr>
          <w:ilvl w:val="255"/>
          <w:numId w:val="0"/>
        </w:numPr>
        <w:adjustRightInd w:val="0"/>
        <w:snapToGrid w:val="0"/>
        <w:spacing w:line="360" w:lineRule="auto"/>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文物运输所涉及的国家文物安全、运输内容、运输路线、运输时间均为涉密信息，运输企业及相关人员必须对以上内容严格保密，并制定和采取相应的保密措施。如造成失泄密问题发生，应无条件承担一切法律责任。</w:t>
      </w:r>
    </w:p>
    <w:p>
      <w:pPr>
        <w:widowControl/>
        <w:adjustRightInd w:val="0"/>
        <w:snapToGrid w:val="0"/>
        <w:spacing w:line="360" w:lineRule="auto"/>
        <w:jc w:val="left"/>
        <w:rPr>
          <w:rFonts w:ascii="仿宋_GB2312" w:hAnsi="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服务团队要求：应配备一名项目负责人，有较强的组织协调能力，且具备类似项目的执行经验；服务团队有明确的组织架构，人数合理且完全满足项目需要，岗位职责明晰有针对性，具有丰富的包装技术及操作经验，且负责本批次文物的包/拆装、布/撤展、装/卸车等相关服务工作。具备文物专业包装、专业布/撤展的能力；并保证文物在包装、拆包装和布/撤展过程中，严格遵守相关专业规定，安全稳妥操作。全程不允许更换服务团队人员，如需更换需要经过采购人允许。供应商可在响应文件中提供本项目拟派项目负责人及服务团队情况。</w:t>
      </w:r>
    </w:p>
    <w:p>
      <w:pPr>
        <w:widowControl/>
        <w:numPr>
          <w:ilvl w:val="255"/>
          <w:numId w:val="0"/>
        </w:numPr>
        <w:adjustRightInd w:val="0"/>
        <w:snapToGrid w:val="0"/>
        <w:spacing w:line="360" w:lineRule="auto"/>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供应商可在响应文件中提供对本项目的整体认识理解以及需求分析，总体服务实施方案，拆/包装环节的组织方案及措施，服务保障措施和安全保密保障措施以及应急预案。同时要结合自身经验，提出本项目的重难点分析，可行的应对措施及相关的合理化建议，完全满足项目的需要。</w:t>
      </w:r>
    </w:p>
    <w:p>
      <w:pPr>
        <w:widowControl/>
        <w:numPr>
          <w:ilvl w:val="255"/>
          <w:numId w:val="0"/>
        </w:numPr>
        <w:adjustRightInd w:val="0"/>
        <w:snapToGrid w:val="0"/>
        <w:spacing w:line="360" w:lineRule="auto"/>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8、供应商需要根据项目情况制定有针对性的应急预案（防雨、防湿、防火、防盗及意外情况处理等）。</w:t>
      </w:r>
    </w:p>
    <w:p>
      <w:pPr>
        <w:widowControl/>
        <w:numPr>
          <w:ilvl w:val="255"/>
          <w:numId w:val="0"/>
        </w:numPr>
        <w:adjustRightInd w:val="0"/>
        <w:snapToGrid w:val="0"/>
        <w:spacing w:line="360" w:lineRule="auto"/>
        <w:jc w:val="left"/>
        <w:rPr>
          <w:rFonts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9、该项目文物运输需要武装守护押运服务。如供应商具备服务范围包括武装守护和武装押运的《保安服务许可证》，则需要在响应文件中提供服务范围包括武装守护和武装押运的《保安服务许可证》复印件并加盖供应商单位公章；如供应商不具备服务范围包括武装守护和武装押运的《保安服务许可证》，则供应商需要在响应文件中载明承担武装押运的主体及其服务范围，并同时提供该主体服务范围包括武装守护和武装押运的《保安服务许可证》复印件，以上材料均需加盖供应商单位公章。承担武装押运的主体不得再次分包，并就其承担的服务向采购人负责并承担责任。</w:t>
      </w:r>
    </w:p>
    <w:p>
      <w:pPr>
        <w:numPr>
          <w:ilvl w:val="255"/>
          <w:numId w:val="0"/>
        </w:numPr>
        <w:spacing w:line="360" w:lineRule="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10、在不违反国家疫情防控政策前提下，中标供应商需全力配合首都博物馆的运输安排，不得有异议。</w:t>
      </w:r>
    </w:p>
    <w:p>
      <w:pPr>
        <w:numPr>
          <w:ilvl w:val="255"/>
          <w:numId w:val="0"/>
        </w:numPr>
        <w:spacing w:line="360" w:lineRule="auto"/>
        <w:rPr>
          <w:rFonts w:hint="eastAsia" w:ascii="仿宋_GB2312" w:hAnsi="仿宋_GB2312" w:eastAsia="仿宋_GB2312" w:cs="仿宋_GB2312"/>
          <w:b/>
          <w:bCs/>
          <w:color w:val="auto"/>
          <w:sz w:val="24"/>
          <w:szCs w:val="24"/>
          <w:highlight w:val="none"/>
        </w:rPr>
      </w:pPr>
    </w:p>
    <w:p>
      <w:pPr>
        <w:numPr>
          <w:ilvl w:val="255"/>
          <w:numId w:val="0"/>
        </w:numPr>
        <w:spacing w:line="360" w:lineRule="auto"/>
        <w:rPr>
          <w:rFonts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*五、服务时间</w:t>
      </w:r>
    </w:p>
    <w:p>
      <w:pPr>
        <w:numPr>
          <w:ilvl w:val="255"/>
          <w:numId w:val="0"/>
        </w:numPr>
        <w:spacing w:line="360" w:lineRule="auto"/>
        <w:ind w:firstLine="482" w:firstLineChars="200"/>
        <w:rPr>
          <w:rFonts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本项目涉及的全部文物最迟调集至首都博物馆的时间为2022年5月20日；6月11日（暂定）即开展前完成拆装和协助布展。</w:t>
      </w:r>
    </w:p>
    <w:p>
      <w:pPr>
        <w:numPr>
          <w:ilvl w:val="255"/>
          <w:numId w:val="0"/>
        </w:numPr>
        <w:spacing w:line="360" w:lineRule="auto"/>
        <w:ind w:firstLine="482" w:firstLineChars="200"/>
        <w:rPr>
          <w:rFonts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回程时间：外阜单位按照采购人要求，根据借展时间长短、当时路况和疫情管控情况确定，京内单位根据借展时间长短和借展单位要求确定。</w:t>
      </w:r>
    </w:p>
    <w:p>
      <w:pPr>
        <w:numPr>
          <w:ilvl w:val="255"/>
          <w:numId w:val="0"/>
        </w:numPr>
        <w:spacing w:line="360" w:lineRule="auto"/>
        <w:rPr>
          <w:rFonts w:ascii="仿宋_GB2312" w:hAnsi="仿宋_GB2312" w:eastAsia="仿宋_GB2312" w:cs="仿宋_GB2312"/>
          <w:color w:val="auto"/>
          <w:sz w:val="24"/>
          <w:szCs w:val="24"/>
          <w:highlight w:val="none"/>
        </w:rPr>
      </w:pPr>
    </w:p>
    <w:p>
      <w:pPr>
        <w:numPr>
          <w:ilvl w:val="255"/>
          <w:numId w:val="0"/>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六、付款方式</w:t>
      </w:r>
    </w:p>
    <w:p>
      <w:pPr>
        <w:rPr>
          <w:rFonts w:ascii="仿宋_GB2312" w:hAnsi="仿宋_GB2312" w:eastAsia="仿宋_GB2312" w:cs="仿宋_GB2312"/>
          <w:color w:val="auto"/>
          <w:sz w:val="24"/>
          <w:szCs w:val="24"/>
          <w:highlight w:val="none"/>
        </w:rPr>
      </w:pPr>
    </w:p>
    <w:p>
      <w:pPr>
        <w:widowControl/>
        <w:adjustRightInd w:val="0"/>
        <w:snapToGrid w:val="0"/>
        <w:spacing w:line="360" w:lineRule="auto"/>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1、供应商在合同签订后7个工作日内（不超过7个工作日）向采购人提交合同总金额 10% 的履约保证金。在合同规定内容全部履行完毕且无违约问题发生的前提下，采购人将在支付回程运输服务费的同时无息退还供应商履约保证金。如发生理赔事宜，采购人将在理赔工作全部结束后的7个工作日内无息退还供应商履约保证金。</w:t>
      </w:r>
    </w:p>
    <w:p>
      <w:pPr>
        <w:widowControl/>
        <w:adjustRightInd w:val="0"/>
        <w:snapToGrid w:val="0"/>
        <w:spacing w:line="360" w:lineRule="auto"/>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2、货物抵达采购人首都博物馆后15个工作日内，供应商提供正式发票，财政资金到位后，采购人将来程运输服务费支付予供应商。</w:t>
      </w:r>
    </w:p>
    <w:p>
      <w:pPr>
        <w:widowControl/>
        <w:adjustRightInd w:val="0"/>
        <w:snapToGrid w:val="0"/>
        <w:spacing w:line="360" w:lineRule="auto"/>
        <w:jc w:val="left"/>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3、货物抵达展品所属方指定地点后15个工作日内，供应商提供正式发票，财政资金到位后，采购人将回程运输服务费支付予供应商。</w:t>
      </w:r>
      <w:r>
        <w:rPr>
          <w:rFonts w:hint="eastAsia" w:ascii="仿宋_GB2312" w:hAnsi="仿宋_GB2312" w:eastAsia="仿宋_GB2312" w:cs="仿宋_GB2312"/>
          <w:color w:val="auto"/>
          <w:sz w:val="24"/>
          <w:szCs w:val="24"/>
          <w:highlight w:val="none"/>
        </w:rPr>
        <w:br w:type="page"/>
      </w:r>
    </w:p>
    <w:p>
      <w:p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附件1：</w:t>
      </w:r>
    </w:p>
    <w:p>
      <w:p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家国内单位安全调集至首博（往返）。分别为宝鸡青铜器博物院、咸阳博物院、西安博物院、洛阳博物馆、中国社会科学院陶寺（山西侯马市复兴村）、安阳博物馆、中国社会科学院邺城考古队（河北邺城）、山西青铜博物馆、山西博物院、浙江省博物馆、辽宁省文物考古研究院、故宫博物院、中国营造学社纪念馆、清华大学档案馆、北京大学图书馆、中国国家图书馆、中国文化遗产研究院、北京市测绘院。</w:t>
      </w:r>
    </w:p>
    <w:p>
      <w:pPr>
        <w:pStyle w:val="4"/>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（1）去程：</w:t>
      </w:r>
    </w:p>
    <w:p>
      <w:p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外阜（按照采购人要求，根据当时路况和疫情管控情况确定）：</w:t>
      </w:r>
    </w:p>
    <w:p>
      <w:p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线路一：</w:t>
      </w:r>
    </w:p>
    <w:p>
      <w:p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宝鸡青铜器博物院--咸阳博物院--西安博物院--洛阳博物馆--中国社会科学院陶寺-安阳博物馆--中国社会科学院邺城考古队--山西青铜博物馆--山西博物院-首都博物馆</w:t>
      </w:r>
    </w:p>
    <w:p>
      <w:pPr>
        <w:numPr>
          <w:ilvl w:val="0"/>
          <w:numId w:val="2"/>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文物包装、协助点交</w:t>
      </w:r>
    </w:p>
    <w:p>
      <w:pPr>
        <w:numPr>
          <w:ilvl w:val="0"/>
          <w:numId w:val="2"/>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从各站点博物馆到首都博物馆运输及装卸车操作</w:t>
      </w:r>
    </w:p>
    <w:p>
      <w:pPr>
        <w:numPr>
          <w:ilvl w:val="0"/>
          <w:numId w:val="2"/>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协助在首都博物馆点交布展</w:t>
      </w:r>
    </w:p>
    <w:p>
      <w:p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线路二：</w:t>
      </w:r>
    </w:p>
    <w:p>
      <w:p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浙江省博物馆--首都博物馆</w:t>
      </w:r>
    </w:p>
    <w:p>
      <w:pPr>
        <w:numPr>
          <w:ilvl w:val="0"/>
          <w:numId w:val="3"/>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文物包装、协助点交</w:t>
      </w:r>
    </w:p>
    <w:p>
      <w:pPr>
        <w:numPr>
          <w:ilvl w:val="0"/>
          <w:numId w:val="3"/>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从浙江省博物馆到首都博物馆运输及装卸车操作</w:t>
      </w:r>
    </w:p>
    <w:p>
      <w:pPr>
        <w:numPr>
          <w:ilvl w:val="0"/>
          <w:numId w:val="3"/>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协助在首都博物馆点交布展</w:t>
      </w:r>
    </w:p>
    <w:p>
      <w:p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线路三：</w:t>
      </w:r>
    </w:p>
    <w:p>
      <w:p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辽宁省文物考古研究院--首都博物馆</w:t>
      </w:r>
    </w:p>
    <w:p>
      <w:pPr>
        <w:numPr>
          <w:ilvl w:val="0"/>
          <w:numId w:val="4"/>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文物包装、协助点交</w:t>
      </w:r>
    </w:p>
    <w:p>
      <w:pPr>
        <w:numPr>
          <w:ilvl w:val="0"/>
          <w:numId w:val="4"/>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从辽宁省文物考古研究院到首都博物馆运输及装卸车操作</w:t>
      </w:r>
    </w:p>
    <w:p>
      <w:pPr>
        <w:numPr>
          <w:ilvl w:val="0"/>
          <w:numId w:val="4"/>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协助在首都博物馆点交布展</w:t>
      </w:r>
    </w:p>
    <w:p>
      <w:pPr>
        <w:pStyle w:val="4"/>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京内（根据借展单位要求确定时间）：</w:t>
      </w:r>
    </w:p>
    <w:p>
      <w:p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北京市内7家文物单位至首都博物馆</w:t>
      </w:r>
    </w:p>
    <w:p>
      <w:p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（故宫博物院、中国营造学社纪念馆、清华大学档案馆、北京大学图书馆、中国国家图书馆、中国文化遗产研究院、北京市测绘院）</w:t>
      </w:r>
    </w:p>
    <w:p>
      <w:pPr>
        <w:numPr>
          <w:ilvl w:val="0"/>
          <w:numId w:val="5"/>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文物包装、协助点交</w:t>
      </w:r>
    </w:p>
    <w:p>
      <w:pPr>
        <w:numPr>
          <w:ilvl w:val="0"/>
          <w:numId w:val="5"/>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从各站点博物馆到首都博物馆运输及装卸车操作</w:t>
      </w:r>
    </w:p>
    <w:p>
      <w:pPr>
        <w:numPr>
          <w:ilvl w:val="0"/>
          <w:numId w:val="5"/>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协助在首都博物馆点交布展</w:t>
      </w:r>
    </w:p>
    <w:p>
      <w:p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（2）回程：</w:t>
      </w:r>
    </w:p>
    <w:p>
      <w:p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外阜（按照采购人要求，根据借展时间长短、当时路况和疫情管控情况确定）：</w:t>
      </w:r>
    </w:p>
    <w:p>
      <w:p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线路一：首都博物馆--山西博物院--山西青铜博物馆--中国社会科学院邺城考古队--安阳博物馆--中国社会科学院陶寺--洛阳博物馆--西安博物院--咸阳博物院--宝鸡青铜器博物院</w:t>
      </w:r>
    </w:p>
    <w:p>
      <w:pPr>
        <w:numPr>
          <w:ilvl w:val="0"/>
          <w:numId w:val="6"/>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文物包装，协助点交撤展</w:t>
      </w:r>
    </w:p>
    <w:p>
      <w:pPr>
        <w:numPr>
          <w:ilvl w:val="0"/>
          <w:numId w:val="6"/>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从首都博物馆至各站点博物馆运输及装卸车操作</w:t>
      </w:r>
    </w:p>
    <w:p>
      <w:pPr>
        <w:numPr>
          <w:ilvl w:val="0"/>
          <w:numId w:val="6"/>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协助在各站点博物馆点交验收</w:t>
      </w:r>
    </w:p>
    <w:p>
      <w:p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线路二：</w:t>
      </w:r>
    </w:p>
    <w:p>
      <w:p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首都博物馆-浙江省博物馆</w:t>
      </w:r>
    </w:p>
    <w:p>
      <w:pPr>
        <w:numPr>
          <w:ilvl w:val="0"/>
          <w:numId w:val="7"/>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文物包装，协助点交撤展</w:t>
      </w:r>
    </w:p>
    <w:p>
      <w:pPr>
        <w:numPr>
          <w:ilvl w:val="0"/>
          <w:numId w:val="7"/>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从首都博物馆至浙江省博物馆运输及装卸车操作</w:t>
      </w:r>
    </w:p>
    <w:p>
      <w:pPr>
        <w:numPr>
          <w:ilvl w:val="0"/>
          <w:numId w:val="7"/>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协助在各站点博物馆点交验收</w:t>
      </w:r>
    </w:p>
    <w:p>
      <w:p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线路三：</w:t>
      </w:r>
    </w:p>
    <w:p>
      <w:p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首都博物馆-辽宁省文物考古研究院</w:t>
      </w:r>
    </w:p>
    <w:p>
      <w:pPr>
        <w:numPr>
          <w:ilvl w:val="0"/>
          <w:numId w:val="8"/>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文物包装，协助点交撤展</w:t>
      </w:r>
    </w:p>
    <w:p>
      <w:pPr>
        <w:numPr>
          <w:ilvl w:val="0"/>
          <w:numId w:val="8"/>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从首都博物馆至辽宁省文物考古研究院运输及装卸车操作</w:t>
      </w:r>
    </w:p>
    <w:p>
      <w:pPr>
        <w:numPr>
          <w:ilvl w:val="0"/>
          <w:numId w:val="8"/>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协助在各站点博物馆点交验收</w:t>
      </w:r>
    </w:p>
    <w:p>
      <w:pPr>
        <w:pStyle w:val="4"/>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京内（根据借展时间长短和借展单位要求确定）：</w:t>
      </w:r>
    </w:p>
    <w:p>
      <w:p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首都博物馆--北京市内7家文物单位</w:t>
      </w:r>
    </w:p>
    <w:p>
      <w:p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（故宫博物院、中国营造学社纪念馆、清华大学档案馆、北京大学图书馆、中国国家图书馆、中国文化遗产研究院、北京市测绘院）</w:t>
      </w:r>
    </w:p>
    <w:p>
      <w:pPr>
        <w:numPr>
          <w:ilvl w:val="0"/>
          <w:numId w:val="9"/>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文物包装，协助点交撤展</w:t>
      </w:r>
    </w:p>
    <w:p>
      <w:pPr>
        <w:numPr>
          <w:ilvl w:val="0"/>
          <w:numId w:val="9"/>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从首都博物馆至各站点博物馆运输及装卸车操作</w:t>
      </w:r>
    </w:p>
    <w:p>
      <w:pPr>
        <w:numPr>
          <w:ilvl w:val="0"/>
          <w:numId w:val="9"/>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协助在各站点博物馆点交验收</w:t>
      </w:r>
    </w:p>
    <w:p>
      <w:pPr>
        <w:numPr>
          <w:ilvl w:val="255"/>
          <w:numId w:val="0"/>
        </w:numPr>
        <w:spacing w:line="360" w:lineRule="auto"/>
        <w:rPr>
          <w:rFonts w:ascii="仿宋_GB2312" w:hAnsi="仿宋_GB2312" w:eastAsia="仿宋_GB2312" w:cs="仿宋_GB2312"/>
          <w:color w:val="auto"/>
          <w:sz w:val="24"/>
          <w:szCs w:val="24"/>
          <w:highlight w:val="none"/>
        </w:rPr>
      </w:pPr>
    </w:p>
    <w:p>
      <w:pPr>
        <w:numPr>
          <w:ilvl w:val="255"/>
          <w:numId w:val="0"/>
        </w:numPr>
        <w:spacing w:line="360" w:lineRule="auto"/>
        <w:rPr>
          <w:rFonts w:ascii="仿宋_GB2312" w:hAnsi="仿宋_GB2312" w:eastAsia="仿宋_GB2312" w:cs="仿宋_GB2312"/>
          <w:color w:val="auto"/>
          <w:sz w:val="24"/>
          <w:szCs w:val="24"/>
          <w:highlight w:val="none"/>
        </w:rPr>
      </w:pPr>
    </w:p>
    <w:p>
      <w:pPr>
        <w:numPr>
          <w:ilvl w:val="255"/>
          <w:numId w:val="0"/>
        </w:numPr>
        <w:spacing w:line="360" w:lineRule="auto"/>
        <w:rPr>
          <w:rFonts w:ascii="仿宋_GB2312" w:hAnsi="仿宋_GB2312" w:eastAsia="仿宋_GB2312" w:cs="仿宋_GB2312"/>
          <w:color w:val="auto"/>
          <w:sz w:val="24"/>
          <w:szCs w:val="24"/>
          <w:highlight w:val="none"/>
        </w:rPr>
      </w:pPr>
    </w:p>
    <w:p>
      <w:pPr>
        <w:numPr>
          <w:ilvl w:val="255"/>
          <w:numId w:val="0"/>
        </w:numPr>
        <w:spacing w:line="360" w:lineRule="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附件2：</w:t>
      </w:r>
    </w:p>
    <w:tbl>
      <w:tblPr>
        <w:tblStyle w:val="6"/>
        <w:tblW w:w="853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538"/>
        <w:gridCol w:w="1603"/>
        <w:gridCol w:w="1557"/>
        <w:gridCol w:w="1618"/>
        <w:gridCol w:w="2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Align w:val="center"/>
          </w:tcPr>
          <w:p>
            <w:pPr>
              <w:jc w:val="center"/>
              <w:rPr>
                <w:rFonts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省市</w:t>
            </w:r>
          </w:p>
        </w:tc>
        <w:tc>
          <w:tcPr>
            <w:tcW w:w="538" w:type="dxa"/>
            <w:vAlign w:val="center"/>
          </w:tcPr>
          <w:p>
            <w:pPr>
              <w:jc w:val="center"/>
              <w:rPr>
                <w:rFonts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序号</w:t>
            </w:r>
          </w:p>
        </w:tc>
        <w:tc>
          <w:tcPr>
            <w:tcW w:w="1603" w:type="dxa"/>
            <w:vAlign w:val="center"/>
          </w:tcPr>
          <w:p>
            <w:pPr>
              <w:jc w:val="center"/>
              <w:rPr>
                <w:rFonts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名称</w:t>
            </w:r>
          </w:p>
        </w:tc>
        <w:tc>
          <w:tcPr>
            <w:tcW w:w="1557" w:type="dxa"/>
            <w:vAlign w:val="center"/>
          </w:tcPr>
          <w:p>
            <w:pPr>
              <w:jc w:val="center"/>
              <w:rPr>
                <w:rFonts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收藏单位</w:t>
            </w:r>
          </w:p>
        </w:tc>
        <w:tc>
          <w:tcPr>
            <w:tcW w:w="1618" w:type="dxa"/>
            <w:vAlign w:val="center"/>
          </w:tcPr>
          <w:p>
            <w:pPr>
              <w:jc w:val="center"/>
              <w:rPr>
                <w:rFonts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尺寸</w:t>
            </w:r>
          </w:p>
        </w:tc>
        <w:tc>
          <w:tcPr>
            <w:tcW w:w="2621" w:type="dxa"/>
            <w:vAlign w:val="center"/>
          </w:tcPr>
          <w:p>
            <w:pPr>
              <w:jc w:val="center"/>
              <w:rPr>
                <w:rFonts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restart"/>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陕西省</w:t>
            </w: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何尊</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宝鸡青铜器博物院</w:t>
            </w:r>
          </w:p>
        </w:tc>
        <w:tc>
          <w:tcPr>
            <w:tcW w:w="1618"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shd w:val="clear" w:color="auto" w:fill="FFFFFF"/>
              </w:rPr>
              <w:t>高38.8厘米，口径28.8厘米，重14.6公斤</w:t>
            </w:r>
          </w:p>
        </w:tc>
        <w:tc>
          <w:tcPr>
            <w:tcW w:w="2621"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0" distR="0">
                  <wp:extent cx="564515" cy="770255"/>
                  <wp:effectExtent l="0" t="0" r="6985" b="10795"/>
                  <wp:docPr id="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71268" cy="7797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秦水神骑凤纹空心砖残块</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咸阳博物院</w:t>
            </w:r>
          </w:p>
        </w:tc>
        <w:tc>
          <w:tcPr>
            <w:tcW w:w="1618" w:type="dxa"/>
            <w:vAlign w:val="center"/>
          </w:tcPr>
          <w:p>
            <w:pPr>
              <w:jc w:val="center"/>
              <w:rPr>
                <w:rFonts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rPr>
              <w:t>残长23.5,宽18,厚10</w:t>
            </w:r>
          </w:p>
        </w:tc>
        <w:tc>
          <w:tcPr>
            <w:tcW w:w="2621"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0" distR="0">
                  <wp:extent cx="1221105" cy="817245"/>
                  <wp:effectExtent l="0" t="0" r="17145" b="1905"/>
                  <wp:docPr id="1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1"/>
                          <pic:cNvPicPr>
                            <a:picLocks noChangeAspect="1"/>
                          </pic:cNvPicPr>
                        </pic:nvPicPr>
                        <pic:blipFill>
                          <a:blip r:embed="rId5" cstate="print"/>
                          <a:stretch>
                            <a:fillRect/>
                          </a:stretch>
                        </pic:blipFill>
                        <pic:spPr>
                          <a:xfrm>
                            <a:off x="0" y="0"/>
                            <a:ext cx="1221105" cy="8172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“与天毋极”瓦当</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西安博物院</w:t>
            </w:r>
          </w:p>
        </w:tc>
        <w:tc>
          <w:tcPr>
            <w:tcW w:w="1618"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直径17cm-18cm</w:t>
            </w:r>
          </w:p>
        </w:tc>
        <w:tc>
          <w:tcPr>
            <w:tcW w:w="2621"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0" distR="0">
                  <wp:extent cx="704850" cy="476250"/>
                  <wp:effectExtent l="0" t="0" r="0" b="0"/>
                  <wp:docPr id="11" name="图片 4" descr="丁3gwD84-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丁3gwD84-A-1"/>
                          <pic:cNvPicPr>
                            <a:picLocks noChangeAspect="1" noChangeArrowheads="1"/>
                          </pic:cNvPicPr>
                        </pic:nvPicPr>
                        <pic:blipFill>
                          <a:blip r:embed="rId6" cstate="print"/>
                          <a:srcRect/>
                          <a:stretch>
                            <a:fillRect/>
                          </a:stretch>
                        </pic:blipFill>
                        <pic:spPr>
                          <a:xfrm>
                            <a:off x="0" y="0"/>
                            <a:ext cx="704850" cy="47625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“与天无极”瓦当</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西安博物院</w:t>
            </w:r>
          </w:p>
        </w:tc>
        <w:tc>
          <w:tcPr>
            <w:tcW w:w="1618"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直径17cm-18cm</w:t>
            </w:r>
          </w:p>
        </w:tc>
        <w:tc>
          <w:tcPr>
            <w:tcW w:w="2621"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0" distR="0">
                  <wp:extent cx="714375" cy="762000"/>
                  <wp:effectExtent l="0" t="0" r="9525" b="0"/>
                  <wp:docPr id="13" name="图片 7" descr="丁3gwD372-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丁3gwD372-A-1"/>
                          <pic:cNvPicPr>
                            <a:picLocks noChangeAspect="1" noChangeArrowheads="1"/>
                          </pic:cNvPicPr>
                        </pic:nvPicPr>
                        <pic:blipFill>
                          <a:blip r:embed="rId7" cstate="print"/>
                          <a:srcRect/>
                          <a:stretch>
                            <a:fillRect/>
                          </a:stretch>
                        </pic:blipFill>
                        <pic:spPr>
                          <a:xfrm>
                            <a:off x="0" y="0"/>
                            <a:ext cx="714375" cy="76200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汉玄武纹瓦当</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西安博物院</w:t>
            </w:r>
          </w:p>
        </w:tc>
        <w:tc>
          <w:tcPr>
            <w:tcW w:w="1618"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直径17cm-18cm</w:t>
            </w:r>
          </w:p>
        </w:tc>
        <w:tc>
          <w:tcPr>
            <w:tcW w:w="2621"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0" distR="0">
                  <wp:extent cx="714375" cy="495300"/>
                  <wp:effectExtent l="0" t="0" r="9525" b="0"/>
                  <wp:docPr id="15" name="图片 13" descr="丁3gwD262-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丁3gwD262-A-1"/>
                          <pic:cNvPicPr>
                            <a:picLocks noChangeAspect="1" noChangeArrowheads="1"/>
                          </pic:cNvPicPr>
                        </pic:nvPicPr>
                        <pic:blipFill>
                          <a:blip r:embed="rId8" cstate="print"/>
                          <a:srcRect/>
                          <a:stretch>
                            <a:fillRect/>
                          </a:stretch>
                        </pic:blipFill>
                        <pic:spPr>
                          <a:xfrm>
                            <a:off x="0" y="0"/>
                            <a:ext cx="714375" cy="49530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汉朱雀纹瓦当</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西安博物院</w:t>
            </w:r>
          </w:p>
        </w:tc>
        <w:tc>
          <w:tcPr>
            <w:tcW w:w="1618"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直径17cm-18cm</w:t>
            </w:r>
          </w:p>
        </w:tc>
        <w:tc>
          <w:tcPr>
            <w:tcW w:w="2621"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0" distR="0">
                  <wp:extent cx="581025" cy="609600"/>
                  <wp:effectExtent l="0" t="0" r="9525" b="0"/>
                  <wp:docPr id="17" name="图片 17" descr="丁3gwD26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丁3gwD260-A-1"/>
                          <pic:cNvPicPr>
                            <a:picLocks noChangeAspect="1" noChangeArrowheads="1"/>
                          </pic:cNvPicPr>
                        </pic:nvPicPr>
                        <pic:blipFill>
                          <a:blip r:embed="rId9" cstate="print"/>
                          <a:srcRect/>
                          <a:stretch>
                            <a:fillRect/>
                          </a:stretch>
                        </pic:blipFill>
                        <pic:spPr>
                          <a:xfrm>
                            <a:off x="0" y="0"/>
                            <a:ext cx="581025" cy="60960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汉青龙纹瓦当</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西安博物院</w:t>
            </w:r>
          </w:p>
        </w:tc>
        <w:tc>
          <w:tcPr>
            <w:tcW w:w="1618"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直径17cm-18cm</w:t>
            </w:r>
          </w:p>
        </w:tc>
        <w:tc>
          <w:tcPr>
            <w:tcW w:w="2621"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0" distR="0">
                  <wp:extent cx="714375" cy="638175"/>
                  <wp:effectExtent l="0" t="0" r="9525" b="9525"/>
                  <wp:docPr id="19" name="图片 31" descr="丁3gwD266-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1" descr="丁3gwD266-A-1"/>
                          <pic:cNvPicPr>
                            <a:picLocks noChangeAspect="1" noChangeArrowheads="1"/>
                          </pic:cNvPicPr>
                        </pic:nvPicPr>
                        <pic:blipFill>
                          <a:blip r:embed="rId10" cstate="print"/>
                          <a:srcRect/>
                          <a:stretch>
                            <a:fillRect/>
                          </a:stretch>
                        </pic:blipFill>
                        <pic:spPr>
                          <a:xfrm>
                            <a:off x="0" y="0"/>
                            <a:ext cx="714375" cy="63817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汉白虎纹瓦当</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西安博物院</w:t>
            </w:r>
          </w:p>
        </w:tc>
        <w:tc>
          <w:tcPr>
            <w:tcW w:w="1618"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直径17cm-18cm</w:t>
            </w:r>
          </w:p>
        </w:tc>
        <w:tc>
          <w:tcPr>
            <w:tcW w:w="2621"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0" distR="0">
                  <wp:extent cx="704850" cy="723900"/>
                  <wp:effectExtent l="0" t="0" r="0" b="0"/>
                  <wp:docPr id="21" name="图片 29" descr="丁3gwD261-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9" descr="丁3gwD261-A-1"/>
                          <pic:cNvPicPr>
                            <a:picLocks noChangeAspect="1" noChangeArrowheads="1"/>
                          </pic:cNvPicPr>
                        </pic:nvPicPr>
                        <pic:blipFill>
                          <a:blip r:embed="rId11" cstate="print"/>
                          <a:srcRect/>
                          <a:stretch>
                            <a:fillRect/>
                          </a:stretch>
                        </pic:blipFill>
                        <pic:spPr>
                          <a:xfrm>
                            <a:off x="0" y="0"/>
                            <a:ext cx="704850" cy="72390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restart"/>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山西省</w:t>
            </w: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土鼓</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山西青铜博物馆（隶属山西博物院）</w:t>
            </w:r>
          </w:p>
        </w:tc>
        <w:tc>
          <w:tcPr>
            <w:tcW w:w="1618"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长40cm</w:t>
            </w:r>
          </w:p>
        </w:tc>
        <w:tc>
          <w:tcPr>
            <w:tcW w:w="2621"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0" distR="0">
                  <wp:extent cx="822325" cy="622300"/>
                  <wp:effectExtent l="0" t="0" r="15875" b="6350"/>
                  <wp:docPr id="2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834994" cy="631957"/>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玉圭</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山西博物院</w:t>
            </w:r>
          </w:p>
        </w:tc>
        <w:tc>
          <w:tcPr>
            <w:tcW w:w="1618"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长16.6厘米，刃宽5.1厘米，背宽4.3厘米</w:t>
            </w:r>
          </w:p>
        </w:tc>
        <w:tc>
          <w:tcPr>
            <w:tcW w:w="2621"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0" distR="0">
                  <wp:extent cx="533400" cy="716915"/>
                  <wp:effectExtent l="0" t="0" r="0" b="6985"/>
                  <wp:docPr id="25" name="图片 40" descr="/home/baixin/Desktop/SY.67-A-1.jpgSY.67-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0" descr="/home/baixin/Desktop/SY.67-A-1.jpgSY.67-A-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33898" cy="717699"/>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辽宁省</w:t>
            </w: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玉猪龙</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辽宁省文物考古研究院</w:t>
            </w:r>
          </w:p>
        </w:tc>
        <w:tc>
          <w:tcPr>
            <w:tcW w:w="1618"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高9.6、宽7.4、厚3厘米</w:t>
            </w:r>
          </w:p>
        </w:tc>
        <w:tc>
          <w:tcPr>
            <w:tcW w:w="2621" w:type="dxa"/>
            <w:vAlign w:val="center"/>
          </w:tcPr>
          <w:p>
            <w:pPr>
              <w:ind w:firstLine="480"/>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0" distR="0">
                  <wp:extent cx="643890" cy="842645"/>
                  <wp:effectExtent l="0" t="0" r="3810" b="1460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50943" cy="851877"/>
                          </a:xfrm>
                          <a:prstGeom prst="rect">
                            <a:avLst/>
                          </a:prstGeom>
                          <a:noFill/>
                          <a:ln>
                            <a:noFill/>
                          </a:ln>
                        </pic:spPr>
                      </pic:pic>
                    </a:graphicData>
                  </a:graphic>
                </wp:inline>
              </w:drawing>
            </w:r>
          </w:p>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0" distR="0">
                  <wp:extent cx="1012825" cy="1792605"/>
                  <wp:effectExtent l="0" t="0" r="15875" b="1714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12825" cy="17926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restart"/>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河南省</w:t>
            </w: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z w:val="24"/>
                <w:szCs w:val="24"/>
                <w:highlight w:val="none"/>
              </w:rPr>
              <w:t>灰陶盉</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z w:val="24"/>
                <w:szCs w:val="24"/>
                <w:highlight w:val="none"/>
              </w:rPr>
              <w:t>洛阳博物馆</w:t>
            </w:r>
          </w:p>
        </w:tc>
        <w:tc>
          <w:tcPr>
            <w:tcW w:w="1618"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z w:val="24"/>
                <w:szCs w:val="24"/>
                <w:highlight w:val="none"/>
              </w:rPr>
              <w:t>长16.5宽14高24.5</w:t>
            </w:r>
          </w:p>
        </w:tc>
        <w:tc>
          <w:tcPr>
            <w:tcW w:w="2621"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114300" distR="114300">
                  <wp:extent cx="890270" cy="1116965"/>
                  <wp:effectExtent l="0" t="0" r="5080" b="698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16" cstate="print"/>
                          <a:stretch>
                            <a:fillRect/>
                          </a:stretch>
                        </pic:blipFill>
                        <pic:spPr>
                          <a:xfrm>
                            <a:off x="0" y="0"/>
                            <a:ext cx="890270" cy="11169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z w:val="24"/>
                <w:szCs w:val="24"/>
                <w:highlight w:val="none"/>
              </w:rPr>
              <w:t>灰陶爵</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z w:val="24"/>
                <w:szCs w:val="24"/>
                <w:highlight w:val="none"/>
              </w:rPr>
              <w:t>洛阳博物馆</w:t>
            </w:r>
          </w:p>
        </w:tc>
        <w:tc>
          <w:tcPr>
            <w:tcW w:w="1618"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z w:val="24"/>
                <w:szCs w:val="24"/>
                <w:highlight w:val="none"/>
              </w:rPr>
              <w:t>长11.6宽7.7高18.2</w:t>
            </w:r>
          </w:p>
        </w:tc>
        <w:tc>
          <w:tcPr>
            <w:tcW w:w="2621" w:type="dxa"/>
            <w:vAlign w:val="center"/>
          </w:tcPr>
          <w:p>
            <w:pPr>
              <w:widowControl/>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114300" distR="114300">
                  <wp:extent cx="821690" cy="1266825"/>
                  <wp:effectExtent l="0" t="0" r="16510" b="9525"/>
                  <wp:docPr id="3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4"/>
                          <pic:cNvPicPr>
                            <a:picLocks noChangeAspect="1"/>
                          </pic:cNvPicPr>
                        </pic:nvPicPr>
                        <pic:blipFill>
                          <a:blip r:embed="rId17" cstate="print"/>
                          <a:stretch>
                            <a:fillRect/>
                          </a:stretch>
                        </pic:blipFill>
                        <pic:spPr>
                          <a:xfrm>
                            <a:off x="0" y="0"/>
                            <a:ext cx="821690" cy="1266825"/>
                          </a:xfrm>
                          <a:prstGeom prst="rect">
                            <a:avLst/>
                          </a:prstGeom>
                          <a:noFill/>
                          <a:ln>
                            <a:noFill/>
                          </a:ln>
                        </pic:spPr>
                      </pic:pic>
                    </a:graphicData>
                  </a:graphic>
                </wp:inline>
              </w:drawing>
            </w:r>
          </w:p>
          <w:p>
            <w:pPr>
              <w:widowControl/>
              <w:jc w:val="center"/>
              <w:rPr>
                <w:rFonts w:ascii="仿宋_GB2312" w:hAnsi="仿宋_GB2312" w:eastAsia="仿宋_GB2312" w:cs="仿宋_GB2312"/>
                <w:color w:val="auto"/>
                <w:sz w:val="24"/>
                <w:szCs w:val="24"/>
                <w:highlight w:val="none"/>
              </w:rPr>
            </w:pPr>
          </w:p>
          <w:p>
            <w:pPr>
              <w:widowControl/>
              <w:jc w:val="center"/>
              <w:rPr>
                <w:rFonts w:ascii="仿宋_GB2312" w:hAnsi="仿宋_GB2312" w:eastAsia="仿宋_GB2312" w:cs="仿宋_GB2312"/>
                <w:color w:val="auto"/>
                <w:sz w:val="24"/>
                <w:szCs w:val="24"/>
                <w:highlight w:val="none"/>
              </w:rPr>
            </w:pPr>
          </w:p>
          <w:p>
            <w:pPr>
              <w:jc w:val="center"/>
              <w:rPr>
                <w:rFonts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bookmarkStart w:id="0" w:name="_Hlk98508179"/>
            <w:r>
              <w:rPr>
                <w:rFonts w:hint="eastAsia" w:ascii="仿宋_GB2312" w:hAnsi="仿宋_GB2312" w:eastAsia="仿宋_GB2312" w:cs="仿宋_GB2312"/>
                <w:color w:val="auto"/>
                <w:sz w:val="24"/>
                <w:szCs w:val="24"/>
                <w:highlight w:val="none"/>
              </w:rPr>
              <w:t>莲花纹方砖</w:t>
            </w:r>
            <w:bookmarkEnd w:id="0"/>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洛阳博物馆</w:t>
            </w:r>
          </w:p>
        </w:tc>
        <w:tc>
          <w:tcPr>
            <w:tcW w:w="1618" w:type="dxa"/>
            <w:vAlign w:val="center"/>
          </w:tcPr>
          <w:p>
            <w:pPr>
              <w:jc w:val="center"/>
              <w:rPr>
                <w:rFonts w:ascii="仿宋_GB2312" w:hAnsi="仿宋_GB2312" w:eastAsia="仿宋_GB2312" w:cs="仿宋_GB2312"/>
                <w:color w:val="auto"/>
                <w:sz w:val="24"/>
                <w:szCs w:val="24"/>
                <w:highlight w:val="none"/>
              </w:rPr>
            </w:pPr>
            <w:bookmarkStart w:id="1" w:name="_Hlk98508184"/>
            <w:r>
              <w:rPr>
                <w:rFonts w:hint="eastAsia" w:ascii="仿宋_GB2312" w:hAnsi="仿宋_GB2312" w:eastAsia="仿宋_GB2312" w:cs="仿宋_GB2312"/>
                <w:color w:val="auto"/>
                <w:sz w:val="24"/>
                <w:szCs w:val="24"/>
                <w:highlight w:val="none"/>
              </w:rPr>
              <w:t>长37</w:t>
            </w:r>
          </w:p>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宽35.5</w:t>
            </w:r>
          </w:p>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厚6</w:t>
            </w:r>
            <w:bookmarkEnd w:id="1"/>
          </w:p>
        </w:tc>
        <w:tc>
          <w:tcPr>
            <w:tcW w:w="2621"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114300" distR="114300">
                  <wp:extent cx="859155" cy="617855"/>
                  <wp:effectExtent l="0" t="0" r="17145" b="10795"/>
                  <wp:docPr id="36" name="图片 1" descr="微信图片_2020111810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微信图片_20201118101031"/>
                          <pic:cNvPicPr>
                            <a:picLocks noChangeAspect="1"/>
                          </pic:cNvPicPr>
                        </pic:nvPicPr>
                        <pic:blipFill>
                          <a:blip r:embed="rId18" cstate="print"/>
                          <a:stretch>
                            <a:fillRect/>
                          </a:stretch>
                        </pic:blipFill>
                        <pic:spPr>
                          <a:xfrm>
                            <a:off x="0" y="0"/>
                            <a:ext cx="859155" cy="6178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bookmarkStart w:id="2" w:name="_Hlk98508212"/>
            <w:r>
              <w:rPr>
                <w:rFonts w:hint="eastAsia" w:ascii="仿宋_GB2312" w:hAnsi="仿宋_GB2312" w:eastAsia="仿宋_GB2312" w:cs="仿宋_GB2312"/>
                <w:color w:val="auto"/>
                <w:sz w:val="24"/>
                <w:szCs w:val="24"/>
                <w:highlight w:val="none"/>
              </w:rPr>
              <w:t>双凤纹砖</w:t>
            </w:r>
            <w:bookmarkEnd w:id="2"/>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洛阳博物馆</w:t>
            </w:r>
          </w:p>
        </w:tc>
        <w:tc>
          <w:tcPr>
            <w:tcW w:w="1618" w:type="dxa"/>
            <w:vAlign w:val="center"/>
          </w:tcPr>
          <w:p>
            <w:pPr>
              <w:jc w:val="center"/>
              <w:rPr>
                <w:rFonts w:ascii="仿宋_GB2312" w:hAnsi="仿宋_GB2312" w:eastAsia="仿宋_GB2312" w:cs="仿宋_GB2312"/>
                <w:color w:val="auto"/>
                <w:sz w:val="24"/>
                <w:szCs w:val="24"/>
                <w:highlight w:val="none"/>
              </w:rPr>
            </w:pPr>
            <w:bookmarkStart w:id="3" w:name="_Hlk98508217"/>
            <w:r>
              <w:rPr>
                <w:rFonts w:hint="eastAsia" w:ascii="仿宋_GB2312" w:hAnsi="仿宋_GB2312" w:eastAsia="仿宋_GB2312" w:cs="仿宋_GB2312"/>
                <w:color w:val="auto"/>
                <w:sz w:val="24"/>
                <w:szCs w:val="24"/>
                <w:highlight w:val="none"/>
              </w:rPr>
              <w:t>边长37.7</w:t>
            </w:r>
          </w:p>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厚7.4</w:t>
            </w:r>
            <w:bookmarkEnd w:id="3"/>
          </w:p>
        </w:tc>
        <w:tc>
          <w:tcPr>
            <w:tcW w:w="2621"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114300" distR="114300">
                  <wp:extent cx="944245" cy="708660"/>
                  <wp:effectExtent l="0" t="0" r="8255" b="15240"/>
                  <wp:docPr id="37" name="图片 2" descr="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4878"/>
                          <pic:cNvPicPr>
                            <a:picLocks noChangeAspect="1"/>
                          </pic:cNvPicPr>
                        </pic:nvPicPr>
                        <pic:blipFill>
                          <a:blip r:embed="rId19" cstate="print"/>
                          <a:stretch>
                            <a:fillRect/>
                          </a:stretch>
                        </pic:blipFill>
                        <pic:spPr>
                          <a:xfrm>
                            <a:off x="0" y="0"/>
                            <a:ext cx="944245" cy="7086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bookmarkStart w:id="4" w:name="_Hlk98508251"/>
            <w:r>
              <w:rPr>
                <w:rFonts w:hint="eastAsia" w:ascii="仿宋_GB2312" w:hAnsi="仿宋_GB2312" w:eastAsia="仿宋_GB2312" w:cs="仿宋_GB2312"/>
                <w:color w:val="auto"/>
                <w:sz w:val="24"/>
                <w:szCs w:val="24"/>
                <w:highlight w:val="none"/>
              </w:rPr>
              <w:t>莲花纹瓦当及筒瓦</w:t>
            </w:r>
            <w:bookmarkEnd w:id="4"/>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洛阳博物馆</w:t>
            </w:r>
          </w:p>
        </w:tc>
        <w:tc>
          <w:tcPr>
            <w:tcW w:w="1618" w:type="dxa"/>
            <w:vAlign w:val="center"/>
          </w:tcPr>
          <w:p>
            <w:pPr>
              <w:jc w:val="center"/>
              <w:rPr>
                <w:rFonts w:ascii="仿宋_GB2312" w:hAnsi="仿宋_GB2312" w:eastAsia="仿宋_GB2312" w:cs="仿宋_GB2312"/>
                <w:color w:val="auto"/>
                <w:sz w:val="24"/>
                <w:szCs w:val="24"/>
                <w:highlight w:val="none"/>
              </w:rPr>
            </w:pPr>
            <w:bookmarkStart w:id="5" w:name="_Hlk98508264"/>
            <w:r>
              <w:rPr>
                <w:rFonts w:hint="eastAsia" w:ascii="仿宋_GB2312" w:hAnsi="仿宋_GB2312" w:eastAsia="仿宋_GB2312" w:cs="仿宋_GB2312"/>
                <w:color w:val="auto"/>
                <w:sz w:val="24"/>
                <w:szCs w:val="24"/>
                <w:highlight w:val="none"/>
              </w:rPr>
              <w:t>直径12</w:t>
            </w:r>
          </w:p>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长33</w:t>
            </w:r>
          </w:p>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厚1.6</w:t>
            </w:r>
            <w:bookmarkEnd w:id="5"/>
          </w:p>
        </w:tc>
        <w:tc>
          <w:tcPr>
            <w:tcW w:w="2621"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114300" distR="114300">
                  <wp:extent cx="842010" cy="908685"/>
                  <wp:effectExtent l="0" t="0" r="15240" b="5715"/>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20" cstate="print"/>
                          <a:stretch>
                            <a:fillRect/>
                          </a:stretch>
                        </pic:blipFill>
                        <pic:spPr>
                          <a:xfrm>
                            <a:off x="0" y="0"/>
                            <a:ext cx="842010" cy="9086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商子卜贞宾大乙龟甲卜辞残片</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安阳博物馆</w:t>
            </w:r>
          </w:p>
        </w:tc>
        <w:tc>
          <w:tcPr>
            <w:tcW w:w="1618"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残长2.62，残宽1.74，厚0.5</w:t>
            </w:r>
          </w:p>
        </w:tc>
        <w:tc>
          <w:tcPr>
            <w:tcW w:w="2621"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114300" distR="114300">
                  <wp:extent cx="693420" cy="482600"/>
                  <wp:effectExtent l="0" t="0" r="11430" b="1270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21" cstate="print"/>
                          <a:stretch>
                            <a:fillRect/>
                          </a:stretch>
                        </pic:blipFill>
                        <pic:spPr>
                          <a:xfrm>
                            <a:off x="0" y="0"/>
                            <a:ext cx="708655" cy="492808"/>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浙江省</w:t>
            </w: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玉三叉形器</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浙江省博物馆</w:t>
            </w:r>
          </w:p>
        </w:tc>
        <w:tc>
          <w:tcPr>
            <w:tcW w:w="1618"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高5.2厘米，宽7.4厘米，厚1.3厘米</w:t>
            </w:r>
          </w:p>
        </w:tc>
        <w:tc>
          <w:tcPr>
            <w:tcW w:w="2621"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0" distR="0">
                  <wp:extent cx="582930" cy="485140"/>
                  <wp:effectExtent l="0" t="0" r="7620" b="10160"/>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3048" cy="4852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restart"/>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河北省邺城</w:t>
            </w: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青石莲花柱础（邺南城宫城区出土青石莲花础石（现存宫城区发掘现场））</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中国社会科学院邺城考古队</w:t>
            </w:r>
          </w:p>
        </w:tc>
        <w:tc>
          <w:tcPr>
            <w:tcW w:w="1618"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方形底座宽112、通高约100厘米</w:t>
            </w:r>
          </w:p>
        </w:tc>
        <w:tc>
          <w:tcPr>
            <w:tcW w:w="2621"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0" distR="0">
                  <wp:extent cx="972185" cy="1017270"/>
                  <wp:effectExtent l="0" t="0" r="18415" b="11430"/>
                  <wp:docPr id="42" name="图片 4" descr="C:\Documents and Settings\Administrator\桌面\1251056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descr="C:\Documents and Settings\Administrator\桌面\1251056561.jpg"/>
                          <pic:cNvPicPr>
                            <a:picLocks noChangeAspect="1" noChangeArrowheads="1"/>
                          </pic:cNvPicPr>
                        </pic:nvPicPr>
                        <pic:blipFill>
                          <a:blip r:embed="rId23" cstate="print"/>
                          <a:srcRect l="13077" t="30417"/>
                          <a:stretch>
                            <a:fillRect/>
                          </a:stretch>
                        </pic:blipFill>
                        <pic:spPr>
                          <a:xfrm>
                            <a:off x="0" y="0"/>
                            <a:ext cx="972185" cy="1017686"/>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8" w:hRule="atLeast"/>
        </w:trPr>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青石螭首（铜雀台出土青石螭首（现存邺城博物馆展厅））</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中国社会科学院邺城考古队</w:t>
            </w:r>
          </w:p>
        </w:tc>
        <w:tc>
          <w:tcPr>
            <w:tcW w:w="1618"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通长192、宽厚约50厘米，螭首部分长1.04米</w:t>
            </w:r>
          </w:p>
        </w:tc>
        <w:tc>
          <w:tcPr>
            <w:tcW w:w="2621"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0" distR="0">
                  <wp:extent cx="1015365" cy="407035"/>
                  <wp:effectExtent l="0" t="0" r="13335" b="12065"/>
                  <wp:docPr id="46" name="图片 2" descr="C:\Documents and Settings\Administrator\桌面\1251056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descr="C:\Documents and Settings\Administrator\桌面\1251056561.jpg"/>
                          <pic:cNvPicPr>
                            <a:picLocks noChangeAspect="1" noChangeArrowheads="1"/>
                          </pic:cNvPicPr>
                        </pic:nvPicPr>
                        <pic:blipFill>
                          <a:blip r:embed="rId24" cstate="print"/>
                          <a:srcRect b="69231"/>
                          <a:stretch>
                            <a:fillRect/>
                          </a:stretch>
                        </pic:blipFill>
                        <pic:spPr>
                          <a:xfrm>
                            <a:off x="0" y="0"/>
                            <a:ext cx="1015529" cy="40748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widowControl/>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白石摩尼宝珠纹</w:t>
            </w:r>
          </w:p>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地砖（邺南城宫城区出土白石摩尼宝珠纹地砖（现存邺城考古队库房））</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中国社会科学院邺城考古队</w:t>
            </w:r>
          </w:p>
        </w:tc>
        <w:tc>
          <w:tcPr>
            <w:tcW w:w="1618"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宽42、厚10厘米左右</w:t>
            </w:r>
          </w:p>
        </w:tc>
        <w:tc>
          <w:tcPr>
            <w:tcW w:w="2621"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0" distR="0">
                  <wp:extent cx="798830" cy="817880"/>
                  <wp:effectExtent l="0" t="0" r="1270" b="1270"/>
                  <wp:docPr id="47" name="图片 1" descr="C:\Documents and Settings\Administrator\桌面\762826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descr="C:\Documents and Settings\Administrator\桌面\762826774.jpg"/>
                          <pic:cNvPicPr>
                            <a:picLocks noChangeAspect="1" noChangeArrowheads="1"/>
                          </pic:cNvPicPr>
                        </pic:nvPicPr>
                        <pic:blipFill>
                          <a:blip r:embed="rId25" cstate="print"/>
                          <a:srcRect/>
                          <a:stretch>
                            <a:fillRect/>
                          </a:stretch>
                        </pic:blipFill>
                        <pic:spPr>
                          <a:xfrm>
                            <a:off x="0" y="0"/>
                            <a:ext cx="799436" cy="81847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山西省</w:t>
            </w: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槷（音聂）表</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山西省侯马市复兴村</w:t>
            </w:r>
          </w:p>
        </w:tc>
        <w:tc>
          <w:tcPr>
            <w:tcW w:w="1618" w:type="dxa"/>
            <w:vAlign w:val="center"/>
          </w:tcPr>
          <w:p>
            <w:pPr>
              <w:jc w:val="center"/>
              <w:rPr>
                <w:rFonts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rPr>
              <w:t>171.8cm</w:t>
            </w:r>
          </w:p>
        </w:tc>
        <w:tc>
          <w:tcPr>
            <w:tcW w:w="2621"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0" distR="0">
                  <wp:extent cx="514350" cy="1571625"/>
                  <wp:effectExtent l="0" t="0" r="0" b="9525"/>
                  <wp:docPr id="4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14741" cy="1572866"/>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restart"/>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北京</w:t>
            </w:r>
          </w:p>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（故宫博物院）</w:t>
            </w: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余士、吴钺合画徐显卿宦迹图册</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故宫博物院</w:t>
            </w:r>
          </w:p>
        </w:tc>
        <w:tc>
          <w:tcPr>
            <w:tcW w:w="1618"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shd w:val="clear" w:color="auto" w:fill="FFFFFF"/>
              </w:rPr>
              <w:t>现存26开，每开纵62厘米，横58.5厘米。</w:t>
            </w:r>
          </w:p>
        </w:tc>
        <w:tc>
          <w:tcPr>
            <w:tcW w:w="2621"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0" distR="0">
                  <wp:extent cx="898525" cy="598170"/>
                  <wp:effectExtent l="0" t="0" r="15875" b="11430"/>
                  <wp:docPr id="5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1"/>
                          <pic:cNvPicPr>
                            <a:picLocks noChangeAspect="1"/>
                          </pic:cNvPicPr>
                        </pic:nvPicPr>
                        <pic:blipFill>
                          <a:blip r:embed="rId27" cstate="print"/>
                          <a:stretch>
                            <a:fillRect/>
                          </a:stretch>
                        </pic:blipFill>
                        <pic:spPr>
                          <a:xfrm>
                            <a:off x="0" y="0"/>
                            <a:ext cx="908439" cy="60461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京师生春意图</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故宫博物院</w:t>
            </w:r>
          </w:p>
        </w:tc>
        <w:tc>
          <w:tcPr>
            <w:tcW w:w="1618"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绢本，设色，纵256厘米，横233.5厘米。</w:t>
            </w:r>
          </w:p>
        </w:tc>
        <w:tc>
          <w:tcPr>
            <w:tcW w:w="2621"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0" distR="0">
                  <wp:extent cx="651510" cy="716280"/>
                  <wp:effectExtent l="0" t="0" r="15240" b="7620"/>
                  <wp:docPr id="5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5"/>
                          <pic:cNvPicPr>
                            <a:picLocks noChangeAspect="1"/>
                          </pic:cNvPicPr>
                        </pic:nvPicPr>
                        <pic:blipFill>
                          <a:blip r:embed="rId28" cstate="print"/>
                          <a:stretch>
                            <a:fillRect/>
                          </a:stretch>
                        </pic:blipFill>
                        <pic:spPr>
                          <a:xfrm>
                            <a:off x="0" y="0"/>
                            <a:ext cx="663202" cy="72903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z w:val="24"/>
                <w:szCs w:val="24"/>
                <w:highlight w:val="none"/>
              </w:rPr>
              <w:t>名笔集胜册——宋人仙山楼阁页</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故宫博物院</w:t>
            </w:r>
          </w:p>
        </w:tc>
        <w:tc>
          <w:tcPr>
            <w:tcW w:w="1618"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绢本，设色，纵23厘米，横23.4厘米。</w:t>
            </w:r>
          </w:p>
        </w:tc>
        <w:tc>
          <w:tcPr>
            <w:tcW w:w="2621"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0" distR="0">
                  <wp:extent cx="766445" cy="779145"/>
                  <wp:effectExtent l="0" t="0" r="14605" b="1905"/>
                  <wp:docPr id="5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9"/>
                          <pic:cNvPicPr>
                            <a:picLocks noChangeAspect="1"/>
                          </pic:cNvPicPr>
                        </pic:nvPicPr>
                        <pic:blipFill>
                          <a:blip r:embed="rId29" cstate="print"/>
                          <a:stretch>
                            <a:fillRect/>
                          </a:stretch>
                        </pic:blipFill>
                        <pic:spPr>
                          <a:xfrm>
                            <a:off x="0" y="0"/>
                            <a:ext cx="775986" cy="78883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烫样（借一两件展出）</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故宫博物院</w:t>
            </w:r>
          </w:p>
        </w:tc>
        <w:tc>
          <w:tcPr>
            <w:tcW w:w="1618" w:type="dxa"/>
            <w:vAlign w:val="center"/>
          </w:tcPr>
          <w:p>
            <w:pPr>
              <w:jc w:val="center"/>
              <w:rPr>
                <w:rFonts w:ascii="仿宋_GB2312" w:hAnsi="仿宋_GB2312" w:eastAsia="仿宋_GB2312" w:cs="仿宋_GB2312"/>
                <w:color w:val="auto"/>
                <w:sz w:val="24"/>
                <w:szCs w:val="24"/>
                <w:highlight w:val="none"/>
              </w:rPr>
            </w:pPr>
          </w:p>
        </w:tc>
        <w:tc>
          <w:tcPr>
            <w:tcW w:w="2621" w:type="dxa"/>
            <w:vAlign w:val="center"/>
          </w:tcPr>
          <w:p>
            <w:pPr>
              <w:jc w:val="center"/>
              <w:rPr>
                <w:rFonts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载湉（光绪皇帝）大婚典礼全图册</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故宫博物院</w:t>
            </w:r>
          </w:p>
        </w:tc>
        <w:tc>
          <w:tcPr>
            <w:tcW w:w="1618" w:type="dxa"/>
            <w:vAlign w:val="center"/>
          </w:tcPr>
          <w:p>
            <w:pPr>
              <w:jc w:val="center"/>
              <w:rPr>
                <w:rFonts w:ascii="仿宋_GB2312" w:hAnsi="仿宋_GB2312" w:eastAsia="仿宋_GB2312" w:cs="仿宋_GB2312"/>
                <w:color w:val="auto"/>
                <w:sz w:val="24"/>
                <w:szCs w:val="24"/>
                <w:highlight w:val="none"/>
              </w:rPr>
            </w:pPr>
          </w:p>
        </w:tc>
        <w:tc>
          <w:tcPr>
            <w:tcW w:w="2621"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0" distR="0">
                  <wp:extent cx="1008380" cy="532765"/>
                  <wp:effectExtent l="0" t="0" r="1270" b="635"/>
                  <wp:docPr id="54"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3"/>
                          <pic:cNvPicPr>
                            <a:picLocks noChangeAspect="1"/>
                          </pic:cNvPicPr>
                        </pic:nvPicPr>
                        <pic:blipFill>
                          <a:blip r:embed="rId30" cstate="print"/>
                          <a:stretch>
                            <a:fillRect/>
                          </a:stretch>
                        </pic:blipFill>
                        <pic:spPr>
                          <a:xfrm>
                            <a:off x="0" y="0"/>
                            <a:ext cx="1031962" cy="54522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雍正帝祭先农坛图卷（图版）</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故宫博物院</w:t>
            </w:r>
          </w:p>
        </w:tc>
        <w:tc>
          <w:tcPr>
            <w:tcW w:w="1618"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绢本，设色，纵61.8厘米，横467.8厘米。</w:t>
            </w:r>
          </w:p>
        </w:tc>
        <w:tc>
          <w:tcPr>
            <w:tcW w:w="2621" w:type="dxa"/>
            <w:vAlign w:val="center"/>
          </w:tcPr>
          <w:p>
            <w:pPr>
              <w:jc w:val="center"/>
              <w:rPr>
                <w:rFonts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佛库伦神轴</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故宫博物院</w:t>
            </w:r>
          </w:p>
        </w:tc>
        <w:tc>
          <w:tcPr>
            <w:tcW w:w="1618"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绢本设色，纵83厘米，横64厘米。</w:t>
            </w:r>
          </w:p>
        </w:tc>
        <w:tc>
          <w:tcPr>
            <w:tcW w:w="2621"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0" distR="0">
                  <wp:extent cx="882015" cy="901065"/>
                  <wp:effectExtent l="0" t="0" r="13335" b="13335"/>
                  <wp:docPr id="5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85434" cy="904247"/>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萨满祭祀神偶</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故宫博物院</w:t>
            </w:r>
          </w:p>
        </w:tc>
        <w:tc>
          <w:tcPr>
            <w:tcW w:w="1618" w:type="dxa"/>
            <w:vAlign w:val="center"/>
          </w:tcPr>
          <w:p>
            <w:pPr>
              <w:jc w:val="center"/>
              <w:rPr>
                <w:rFonts w:ascii="仿宋_GB2312" w:hAnsi="仿宋_GB2312" w:eastAsia="仿宋_GB2312" w:cs="仿宋_GB2312"/>
                <w:color w:val="auto"/>
                <w:sz w:val="24"/>
                <w:szCs w:val="24"/>
                <w:highlight w:val="none"/>
              </w:rPr>
            </w:pPr>
          </w:p>
        </w:tc>
        <w:tc>
          <w:tcPr>
            <w:tcW w:w="2621"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114300" distR="114300">
                  <wp:extent cx="1221105" cy="965835"/>
                  <wp:effectExtent l="0" t="0" r="17145" b="5715"/>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32" cstate="print"/>
                          <a:stretch>
                            <a:fillRect/>
                          </a:stretch>
                        </pic:blipFill>
                        <pic:spPr>
                          <a:xfrm>
                            <a:off x="0" y="0"/>
                            <a:ext cx="1221105" cy="9658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门神年画</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故宫博物院</w:t>
            </w:r>
          </w:p>
        </w:tc>
        <w:tc>
          <w:tcPr>
            <w:tcW w:w="1618"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shd w:val="clear" w:color="auto" w:fill="FFFFFF"/>
              </w:rPr>
              <w:t>绢本，设色，纵143cm，横72cm？</w:t>
            </w:r>
          </w:p>
        </w:tc>
        <w:tc>
          <w:tcPr>
            <w:tcW w:w="2621"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0" distR="0">
                  <wp:extent cx="884555" cy="653415"/>
                  <wp:effectExtent l="0" t="0" r="10795" b="13335"/>
                  <wp:docPr id="5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0"/>
                          <pic:cNvPicPr>
                            <a:picLocks noChangeAspect="1"/>
                          </pic:cNvPicPr>
                        </pic:nvPicPr>
                        <pic:blipFill>
                          <a:blip r:embed="rId33" cstate="print"/>
                          <a:stretch>
                            <a:fillRect/>
                          </a:stretch>
                        </pic:blipFill>
                        <pic:spPr>
                          <a:xfrm>
                            <a:off x="0" y="0"/>
                            <a:ext cx="901341" cy="66553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restart"/>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北京（营造学社）</w:t>
            </w: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人民英雄纪念碑设计资料</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中国营造学社纪念馆</w:t>
            </w:r>
          </w:p>
        </w:tc>
        <w:tc>
          <w:tcPr>
            <w:tcW w:w="1618" w:type="dxa"/>
            <w:vAlign w:val="center"/>
          </w:tcPr>
          <w:p>
            <w:pPr>
              <w:jc w:val="center"/>
              <w:rPr>
                <w:rFonts w:ascii="仿宋_GB2312" w:hAnsi="仿宋_GB2312" w:eastAsia="仿宋_GB2312" w:cs="仿宋_GB2312"/>
                <w:color w:val="auto"/>
                <w:sz w:val="24"/>
                <w:szCs w:val="24"/>
                <w:highlight w:val="none"/>
                <w:shd w:val="clear" w:color="auto" w:fill="FFFFFF"/>
              </w:rPr>
            </w:pPr>
          </w:p>
        </w:tc>
        <w:tc>
          <w:tcPr>
            <w:tcW w:w="2621" w:type="dxa"/>
            <w:vAlign w:val="center"/>
          </w:tcPr>
          <w:p>
            <w:pPr>
              <w:jc w:val="center"/>
              <w:rPr>
                <w:rFonts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人民英雄纪念碑北立面图</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中国营造学社纪念馆</w:t>
            </w:r>
          </w:p>
        </w:tc>
        <w:tc>
          <w:tcPr>
            <w:tcW w:w="1618" w:type="dxa"/>
            <w:vAlign w:val="center"/>
          </w:tcPr>
          <w:p>
            <w:pPr>
              <w:jc w:val="center"/>
              <w:rPr>
                <w:rFonts w:ascii="仿宋_GB2312" w:hAnsi="仿宋_GB2312" w:eastAsia="仿宋_GB2312" w:cs="仿宋_GB2312"/>
                <w:color w:val="auto"/>
                <w:sz w:val="24"/>
                <w:szCs w:val="24"/>
                <w:highlight w:val="none"/>
                <w:shd w:val="clear" w:color="auto" w:fill="FFFFFF"/>
              </w:rPr>
            </w:pPr>
          </w:p>
        </w:tc>
        <w:tc>
          <w:tcPr>
            <w:tcW w:w="2621" w:type="dxa"/>
            <w:vAlign w:val="center"/>
          </w:tcPr>
          <w:p>
            <w:pPr>
              <w:jc w:val="center"/>
              <w:rPr>
                <w:rFonts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人民英雄纪念碑平面图</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中国营造学社纪念馆</w:t>
            </w:r>
          </w:p>
        </w:tc>
        <w:tc>
          <w:tcPr>
            <w:tcW w:w="1618" w:type="dxa"/>
            <w:vAlign w:val="center"/>
          </w:tcPr>
          <w:p>
            <w:pPr>
              <w:jc w:val="center"/>
              <w:rPr>
                <w:rFonts w:ascii="仿宋_GB2312" w:hAnsi="仿宋_GB2312" w:eastAsia="仿宋_GB2312" w:cs="仿宋_GB2312"/>
                <w:color w:val="auto"/>
                <w:sz w:val="24"/>
                <w:szCs w:val="24"/>
                <w:highlight w:val="none"/>
                <w:shd w:val="clear" w:color="auto" w:fill="FFFFFF"/>
              </w:rPr>
            </w:pPr>
          </w:p>
        </w:tc>
        <w:tc>
          <w:tcPr>
            <w:tcW w:w="2621" w:type="dxa"/>
            <w:vAlign w:val="center"/>
          </w:tcPr>
          <w:p>
            <w:pPr>
              <w:jc w:val="center"/>
              <w:rPr>
                <w:rFonts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restart"/>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北京（清华大学）</w:t>
            </w: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人民英雄纪念碑设计方案的建议</w:t>
            </w:r>
          </w:p>
        </w:tc>
        <w:tc>
          <w:tcPr>
            <w:tcW w:w="1557" w:type="dxa"/>
            <w:vAlign w:val="center"/>
          </w:tcPr>
          <w:p>
            <w:pPr>
              <w:jc w:val="center"/>
              <w:rPr>
                <w:rFonts w:ascii="仿宋_GB2312" w:hAnsi="仿宋_GB2312" w:eastAsia="仿宋_GB2312" w:cs="仿宋_GB2312"/>
                <w:color w:val="auto"/>
                <w:sz w:val="24"/>
                <w:szCs w:val="24"/>
                <w:highlight w:val="none"/>
              </w:rPr>
            </w:pPr>
            <w:bookmarkStart w:id="6" w:name="_Hlk96943602"/>
            <w:r>
              <w:rPr>
                <w:rFonts w:hint="eastAsia" w:ascii="仿宋_GB2312" w:hAnsi="仿宋_GB2312" w:eastAsia="仿宋_GB2312" w:cs="仿宋_GB2312"/>
                <w:color w:val="auto"/>
                <w:sz w:val="24"/>
                <w:szCs w:val="24"/>
                <w:highlight w:val="none"/>
              </w:rPr>
              <w:t>清华大学档案馆</w:t>
            </w:r>
            <w:bookmarkEnd w:id="6"/>
          </w:p>
        </w:tc>
        <w:tc>
          <w:tcPr>
            <w:tcW w:w="1618" w:type="dxa"/>
            <w:vAlign w:val="center"/>
          </w:tcPr>
          <w:p>
            <w:pPr>
              <w:jc w:val="center"/>
              <w:rPr>
                <w:rFonts w:ascii="仿宋_GB2312" w:hAnsi="仿宋_GB2312" w:eastAsia="仿宋_GB2312" w:cs="仿宋_GB2312"/>
                <w:color w:val="auto"/>
                <w:sz w:val="24"/>
                <w:szCs w:val="24"/>
                <w:highlight w:val="none"/>
                <w:shd w:val="clear" w:color="auto" w:fill="FFFFFF"/>
              </w:rPr>
            </w:pPr>
          </w:p>
        </w:tc>
        <w:tc>
          <w:tcPr>
            <w:tcW w:w="2621" w:type="dxa"/>
            <w:vAlign w:val="center"/>
          </w:tcPr>
          <w:p>
            <w:pPr>
              <w:jc w:val="center"/>
              <w:rPr>
                <w:rFonts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人民英雄纪念碑设计经过手稿</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清华大学档案馆</w:t>
            </w:r>
          </w:p>
        </w:tc>
        <w:tc>
          <w:tcPr>
            <w:tcW w:w="1618" w:type="dxa"/>
            <w:vAlign w:val="center"/>
          </w:tcPr>
          <w:p>
            <w:pPr>
              <w:jc w:val="center"/>
              <w:rPr>
                <w:rFonts w:ascii="仿宋_GB2312" w:hAnsi="仿宋_GB2312" w:eastAsia="仿宋_GB2312" w:cs="仿宋_GB2312"/>
                <w:color w:val="auto"/>
                <w:sz w:val="24"/>
                <w:szCs w:val="24"/>
                <w:highlight w:val="none"/>
                <w:shd w:val="clear" w:color="auto" w:fill="FFFFFF"/>
              </w:rPr>
            </w:pPr>
          </w:p>
        </w:tc>
        <w:tc>
          <w:tcPr>
            <w:tcW w:w="2621" w:type="dxa"/>
            <w:vAlign w:val="center"/>
          </w:tcPr>
          <w:p>
            <w:pPr>
              <w:jc w:val="center"/>
              <w:rPr>
                <w:rFonts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故宫太和殿南立面图，纵断面图等（五幅）</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清华大学</w:t>
            </w:r>
          </w:p>
        </w:tc>
        <w:tc>
          <w:tcPr>
            <w:tcW w:w="1618" w:type="dxa"/>
            <w:vAlign w:val="center"/>
          </w:tcPr>
          <w:p>
            <w:pPr>
              <w:jc w:val="center"/>
              <w:rPr>
                <w:rFonts w:ascii="仿宋_GB2312" w:hAnsi="仿宋_GB2312" w:eastAsia="仿宋_GB2312" w:cs="仿宋_GB2312"/>
                <w:color w:val="auto"/>
                <w:sz w:val="24"/>
                <w:szCs w:val="24"/>
                <w:highlight w:val="none"/>
              </w:rPr>
            </w:pPr>
          </w:p>
        </w:tc>
        <w:tc>
          <w:tcPr>
            <w:tcW w:w="2621" w:type="dxa"/>
            <w:vAlign w:val="center"/>
          </w:tcPr>
          <w:p>
            <w:pPr>
              <w:jc w:val="center"/>
              <w:rPr>
                <w:rFonts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6"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北京（北京大学）</w:t>
            </w: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康熙《皇舆全览图》（北京城图）</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北京大学图书馆</w:t>
            </w:r>
          </w:p>
        </w:tc>
        <w:tc>
          <w:tcPr>
            <w:tcW w:w="1618" w:type="dxa"/>
            <w:vAlign w:val="center"/>
          </w:tcPr>
          <w:p>
            <w:pPr>
              <w:jc w:val="center"/>
              <w:rPr>
                <w:rFonts w:ascii="仿宋_GB2312" w:hAnsi="仿宋_GB2312" w:eastAsia="仿宋_GB2312" w:cs="仿宋_GB2312"/>
                <w:color w:val="auto"/>
                <w:sz w:val="24"/>
                <w:szCs w:val="24"/>
                <w:highlight w:val="none"/>
                <w:shd w:val="clear" w:color="auto" w:fill="FFFFFF"/>
              </w:rPr>
            </w:pPr>
          </w:p>
        </w:tc>
        <w:tc>
          <w:tcPr>
            <w:tcW w:w="2621" w:type="dxa"/>
            <w:vAlign w:val="center"/>
          </w:tcPr>
          <w:p>
            <w:pPr>
              <w:jc w:val="center"/>
              <w:rPr>
                <w:rFonts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restart"/>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北京（国家图书馆）</w:t>
            </w: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首善全图【丰斋编制，清嘉庆年间（1796-1820）刻印本】</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中国国家图书馆</w:t>
            </w:r>
          </w:p>
        </w:tc>
        <w:tc>
          <w:tcPr>
            <w:tcW w:w="1618" w:type="dxa"/>
            <w:vAlign w:val="center"/>
          </w:tcPr>
          <w:p>
            <w:pPr>
              <w:jc w:val="center"/>
              <w:rPr>
                <w:rFonts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rPr>
              <w:t>109 X 64厘米</w:t>
            </w:r>
          </w:p>
        </w:tc>
        <w:tc>
          <w:tcPr>
            <w:tcW w:w="2621"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114300" distR="114300">
                  <wp:extent cx="1220470" cy="2009775"/>
                  <wp:effectExtent l="0" t="0" r="17780" b="9525"/>
                  <wp:docPr id="58" name="图片 20" descr="首善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0" descr="首善全图"/>
                          <pic:cNvPicPr>
                            <a:picLocks noChangeAspect="1"/>
                          </pic:cNvPicPr>
                        </pic:nvPicPr>
                        <pic:blipFill>
                          <a:blip r:embed="rId34" cstate="print"/>
                          <a:stretch>
                            <a:fillRect/>
                          </a:stretch>
                        </pic:blipFill>
                        <pic:spPr>
                          <a:xfrm>
                            <a:off x="0" y="0"/>
                            <a:ext cx="1220470" cy="20097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北京地图（俄文）【1817 年出版】</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中国国家图书馆</w:t>
            </w:r>
          </w:p>
        </w:tc>
        <w:tc>
          <w:tcPr>
            <w:tcW w:w="1618"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93 X 105厘米</w:t>
            </w:r>
          </w:p>
        </w:tc>
        <w:tc>
          <w:tcPr>
            <w:tcW w:w="2621"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114300" distR="114300">
                  <wp:extent cx="1220470" cy="1492250"/>
                  <wp:effectExtent l="0" t="0" r="17780" b="12700"/>
                  <wp:docPr id="59" name="图片 29" descr="北京城区图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9" descr="北京城区图1817"/>
                          <pic:cNvPicPr>
                            <a:picLocks noChangeAspect="1"/>
                          </pic:cNvPicPr>
                        </pic:nvPicPr>
                        <pic:blipFill>
                          <a:blip r:embed="rId35" cstate="print"/>
                          <a:stretch>
                            <a:fillRect/>
                          </a:stretch>
                        </pic:blipFill>
                        <pic:spPr>
                          <a:xfrm>
                            <a:off x="0" y="0"/>
                            <a:ext cx="1220470" cy="1492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北京内外城全图【绢底彩绘，约绘于清道光二十五年（1845）】</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中国国家图书馆</w:t>
            </w:r>
          </w:p>
        </w:tc>
        <w:tc>
          <w:tcPr>
            <w:tcW w:w="1618"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240 X 180厘米</w:t>
            </w:r>
          </w:p>
        </w:tc>
        <w:tc>
          <w:tcPr>
            <w:tcW w:w="2621" w:type="dxa"/>
            <w:vAlign w:val="center"/>
          </w:tcPr>
          <w:p>
            <w:pPr>
              <w:jc w:val="center"/>
              <w:rPr>
                <w:rFonts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Peking（北京）（英文版）【约绘于清光绪 1880 年至 1890 年绘本】</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中国国家图书馆</w:t>
            </w:r>
          </w:p>
        </w:tc>
        <w:tc>
          <w:tcPr>
            <w:tcW w:w="1618"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116 X 102厘米</w:t>
            </w:r>
          </w:p>
        </w:tc>
        <w:tc>
          <w:tcPr>
            <w:tcW w:w="2621" w:type="dxa"/>
            <w:vAlign w:val="center"/>
          </w:tcPr>
          <w:p>
            <w:pPr>
              <w:jc w:val="center"/>
              <w:rPr>
                <w:rFonts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顺天府全图【赵宏绘，清光绪十二年（1886）刻印本】</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中国国家图书馆</w:t>
            </w:r>
          </w:p>
        </w:tc>
        <w:tc>
          <w:tcPr>
            <w:tcW w:w="1618"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shd w:val="clear" w:color="auto" w:fill="FFFFFF"/>
              </w:rPr>
              <w:t>1册，30 X 31厘米</w:t>
            </w:r>
          </w:p>
        </w:tc>
        <w:tc>
          <w:tcPr>
            <w:tcW w:w="2621" w:type="dxa"/>
            <w:vAlign w:val="center"/>
          </w:tcPr>
          <w:p>
            <w:pPr>
              <w:jc w:val="center"/>
              <w:rPr>
                <w:rFonts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北京城郊地图【（德）驻扎天津测量部制，清光绪三十三年（1907）德国参谋处出版】</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中国国家图书馆</w:t>
            </w:r>
          </w:p>
        </w:tc>
        <w:tc>
          <w:tcPr>
            <w:tcW w:w="1618" w:type="dxa"/>
            <w:vAlign w:val="center"/>
          </w:tcPr>
          <w:p>
            <w:pPr>
              <w:jc w:val="center"/>
              <w:rPr>
                <w:rFonts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rPr>
              <w:t>75 X 68厘米</w:t>
            </w:r>
          </w:p>
        </w:tc>
        <w:tc>
          <w:tcPr>
            <w:tcW w:w="2621" w:type="dxa"/>
            <w:vAlign w:val="center"/>
          </w:tcPr>
          <w:p>
            <w:pPr>
              <w:jc w:val="center"/>
              <w:rPr>
                <w:rFonts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图档（中轴线相关建筑）</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中国国家图书馆</w:t>
            </w:r>
          </w:p>
        </w:tc>
        <w:tc>
          <w:tcPr>
            <w:tcW w:w="1618" w:type="dxa"/>
            <w:vAlign w:val="center"/>
          </w:tcPr>
          <w:p>
            <w:pPr>
              <w:jc w:val="center"/>
              <w:rPr>
                <w:rFonts w:ascii="仿宋_GB2312" w:hAnsi="仿宋_GB2312" w:eastAsia="仿宋_GB2312" w:cs="仿宋_GB2312"/>
                <w:color w:val="auto"/>
                <w:sz w:val="24"/>
                <w:szCs w:val="24"/>
                <w:highlight w:val="none"/>
              </w:rPr>
            </w:pPr>
          </w:p>
        </w:tc>
        <w:tc>
          <w:tcPr>
            <w:tcW w:w="2621" w:type="dxa"/>
            <w:vAlign w:val="center"/>
          </w:tcPr>
          <w:p>
            <w:pPr>
              <w:jc w:val="center"/>
              <w:rPr>
                <w:rFonts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太庙查工簿</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中国国家图书馆</w:t>
            </w:r>
          </w:p>
        </w:tc>
        <w:tc>
          <w:tcPr>
            <w:tcW w:w="1618"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29.6×41（平面打开后横向尺寸）cm</w:t>
            </w:r>
          </w:p>
        </w:tc>
        <w:tc>
          <w:tcPr>
            <w:tcW w:w="2621"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inline distT="0" distB="0" distL="114300" distR="114300">
                  <wp:extent cx="1217930" cy="873760"/>
                  <wp:effectExtent l="0" t="0" r="1270" b="2540"/>
                  <wp:docPr id="60" name="图片 12" descr="太庙查工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descr="太庙查工簿"/>
                          <pic:cNvPicPr>
                            <a:picLocks noChangeAspect="1"/>
                          </pic:cNvPicPr>
                        </pic:nvPicPr>
                        <pic:blipFill>
                          <a:blip r:embed="rId36" cstate="print"/>
                          <a:stretch>
                            <a:fillRect/>
                          </a:stretch>
                        </pic:blipFill>
                        <pic:spPr>
                          <a:xfrm>
                            <a:off x="0" y="0"/>
                            <a:ext cx="1217930" cy="8737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最新北京精细全图【清宣统元年（1909）北京集成图书公司刻印本】</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中国国家图书馆</w:t>
            </w:r>
          </w:p>
        </w:tc>
        <w:tc>
          <w:tcPr>
            <w:tcW w:w="1618"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76 X 52厘米</w:t>
            </w:r>
          </w:p>
        </w:tc>
        <w:tc>
          <w:tcPr>
            <w:tcW w:w="2621" w:type="dxa"/>
            <w:vAlign w:val="center"/>
          </w:tcPr>
          <w:p>
            <w:pPr>
              <w:jc w:val="center"/>
              <w:rPr>
                <w:rFonts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6"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北京（中国文化遗产研究所）</w:t>
            </w: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基泰工程司测绘成果（中华门平面及五顶平面图、中华门正立面图、中华门侧立面图、中华门剖面图、中华门彩色图）</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中国文化遗产研究院</w:t>
            </w:r>
          </w:p>
        </w:tc>
        <w:tc>
          <w:tcPr>
            <w:tcW w:w="1618" w:type="dxa"/>
            <w:vAlign w:val="center"/>
          </w:tcPr>
          <w:p>
            <w:pPr>
              <w:jc w:val="center"/>
              <w:rPr>
                <w:rFonts w:ascii="仿宋_GB2312" w:hAnsi="仿宋_GB2312" w:eastAsia="仿宋_GB2312" w:cs="仿宋_GB2312"/>
                <w:color w:val="auto"/>
                <w:sz w:val="24"/>
                <w:szCs w:val="24"/>
                <w:highlight w:val="none"/>
              </w:rPr>
            </w:pPr>
          </w:p>
        </w:tc>
        <w:tc>
          <w:tcPr>
            <w:tcW w:w="2621" w:type="dxa"/>
            <w:vAlign w:val="center"/>
          </w:tcPr>
          <w:p>
            <w:pPr>
              <w:jc w:val="center"/>
              <w:rPr>
                <w:rFonts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6" w:type="dxa"/>
            <w:vMerge w:val="restart"/>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北京（测绘院）</w:t>
            </w: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新中国时期测绘成果</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北京市测绘院</w:t>
            </w:r>
          </w:p>
        </w:tc>
        <w:tc>
          <w:tcPr>
            <w:tcW w:w="1618" w:type="dxa"/>
            <w:vAlign w:val="center"/>
          </w:tcPr>
          <w:p>
            <w:pPr>
              <w:jc w:val="center"/>
              <w:rPr>
                <w:rFonts w:ascii="仿宋_GB2312" w:hAnsi="仿宋_GB2312" w:eastAsia="仿宋_GB2312" w:cs="仿宋_GB2312"/>
                <w:color w:val="auto"/>
                <w:sz w:val="24"/>
                <w:szCs w:val="24"/>
                <w:highlight w:val="none"/>
              </w:rPr>
            </w:pPr>
          </w:p>
        </w:tc>
        <w:tc>
          <w:tcPr>
            <w:tcW w:w="2621" w:type="dxa"/>
            <w:vAlign w:val="center"/>
          </w:tcPr>
          <w:p>
            <w:pPr>
              <w:jc w:val="center"/>
              <w:rPr>
                <w:rFonts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三次中轴线测绘工作相关资料（工作照、工作成果，例如图纸等）</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北京市测绘院</w:t>
            </w:r>
          </w:p>
        </w:tc>
        <w:tc>
          <w:tcPr>
            <w:tcW w:w="1618" w:type="dxa"/>
            <w:vAlign w:val="center"/>
          </w:tcPr>
          <w:p>
            <w:pPr>
              <w:jc w:val="center"/>
              <w:rPr>
                <w:rFonts w:ascii="仿宋_GB2312" w:hAnsi="仿宋_GB2312" w:eastAsia="仿宋_GB2312" w:cs="仿宋_GB2312"/>
                <w:color w:val="auto"/>
                <w:sz w:val="24"/>
                <w:szCs w:val="24"/>
                <w:highlight w:val="none"/>
              </w:rPr>
            </w:pPr>
          </w:p>
        </w:tc>
        <w:tc>
          <w:tcPr>
            <w:tcW w:w="2621" w:type="dxa"/>
            <w:vAlign w:val="center"/>
          </w:tcPr>
          <w:p>
            <w:pPr>
              <w:jc w:val="center"/>
              <w:rPr>
                <w:rFonts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6" w:type="dxa"/>
            <w:vMerge w:val="continue"/>
            <w:vAlign w:val="center"/>
          </w:tcPr>
          <w:p>
            <w:pPr>
              <w:jc w:val="center"/>
              <w:rPr>
                <w:rFonts w:ascii="仿宋_GB2312" w:hAnsi="仿宋_GB2312" w:eastAsia="仿宋_GB2312" w:cs="仿宋_GB2312"/>
                <w:color w:val="auto"/>
                <w:sz w:val="24"/>
                <w:szCs w:val="24"/>
                <w:highlight w:val="none"/>
              </w:rPr>
            </w:pPr>
          </w:p>
        </w:tc>
        <w:tc>
          <w:tcPr>
            <w:tcW w:w="538" w:type="dxa"/>
            <w:vAlign w:val="center"/>
          </w:tcPr>
          <w:p>
            <w:pPr>
              <w:numPr>
                <w:ilvl w:val="0"/>
                <w:numId w:val="10"/>
              </w:numPr>
              <w:jc w:val="center"/>
              <w:rPr>
                <w:rFonts w:ascii="仿宋_GB2312" w:hAnsi="仿宋_GB2312" w:eastAsia="仿宋_GB2312" w:cs="仿宋_GB2312"/>
                <w:color w:val="auto"/>
                <w:sz w:val="24"/>
                <w:szCs w:val="24"/>
                <w:highlight w:val="none"/>
              </w:rPr>
            </w:pPr>
          </w:p>
        </w:tc>
        <w:tc>
          <w:tcPr>
            <w:tcW w:w="1603"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2020年卫星图</w:t>
            </w:r>
          </w:p>
        </w:tc>
        <w:tc>
          <w:tcPr>
            <w:tcW w:w="1557" w:type="dxa"/>
            <w:vAlign w:val="center"/>
          </w:tcPr>
          <w:p>
            <w:pPr>
              <w:jc w:val="center"/>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北京市测绘院</w:t>
            </w:r>
          </w:p>
        </w:tc>
        <w:tc>
          <w:tcPr>
            <w:tcW w:w="1618" w:type="dxa"/>
            <w:vAlign w:val="center"/>
          </w:tcPr>
          <w:p>
            <w:pPr>
              <w:jc w:val="center"/>
              <w:rPr>
                <w:rFonts w:ascii="仿宋_GB2312" w:hAnsi="仿宋_GB2312" w:eastAsia="仿宋_GB2312" w:cs="仿宋_GB2312"/>
                <w:color w:val="auto"/>
                <w:sz w:val="24"/>
                <w:szCs w:val="24"/>
                <w:highlight w:val="none"/>
              </w:rPr>
            </w:pPr>
          </w:p>
        </w:tc>
        <w:tc>
          <w:tcPr>
            <w:tcW w:w="2621" w:type="dxa"/>
            <w:vAlign w:val="center"/>
          </w:tcPr>
          <w:p>
            <w:pPr>
              <w:jc w:val="center"/>
              <w:rPr>
                <w:rFonts w:ascii="仿宋_GB2312" w:hAnsi="仿宋_GB2312" w:eastAsia="仿宋_GB2312" w:cs="仿宋_GB2312"/>
                <w:color w:val="auto"/>
                <w:sz w:val="24"/>
                <w:szCs w:val="24"/>
                <w:highlight w:val="none"/>
              </w:rPr>
            </w:pPr>
          </w:p>
        </w:tc>
      </w:tr>
    </w:tbl>
    <w:p>
      <w:pPr>
        <w:numPr>
          <w:ilvl w:val="255"/>
          <w:numId w:val="0"/>
        </w:numPr>
        <w:spacing w:line="360" w:lineRule="auto"/>
        <w:rPr>
          <w:rFonts w:ascii="仿宋_GB2312" w:hAnsi="仿宋_GB2312" w:eastAsia="仿宋_GB2312" w:cs="仿宋_GB2312"/>
          <w:color w:val="auto"/>
          <w:sz w:val="24"/>
          <w:szCs w:val="24"/>
          <w:highlight w:val="none"/>
        </w:rPr>
      </w:pPr>
    </w:p>
    <w:p>
      <w:pPr>
        <w:numPr>
          <w:ilvl w:val="255"/>
          <w:numId w:val="0"/>
        </w:numPr>
        <w:spacing w:line="360" w:lineRule="auto"/>
        <w:rPr>
          <w:rFonts w:ascii="仿宋_GB2312" w:hAnsi="仿宋_GB2312" w:eastAsia="仿宋_GB2312" w:cs="仿宋_GB2312"/>
          <w:color w:val="auto"/>
          <w:sz w:val="24"/>
          <w:szCs w:val="24"/>
          <w:highlight w:val="none"/>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3A10C0"/>
    <w:multiLevelType w:val="singleLevel"/>
    <w:tmpl w:val="893A10C0"/>
    <w:lvl w:ilvl="0" w:tentative="0">
      <w:start w:val="1"/>
      <w:numFmt w:val="decimal"/>
      <w:suff w:val="nothing"/>
      <w:lvlText w:val="%1）"/>
      <w:lvlJc w:val="left"/>
    </w:lvl>
  </w:abstractNum>
  <w:abstractNum w:abstractNumId="1">
    <w:nsid w:val="A05E1989"/>
    <w:multiLevelType w:val="singleLevel"/>
    <w:tmpl w:val="A05E1989"/>
    <w:lvl w:ilvl="0" w:tentative="0">
      <w:start w:val="3"/>
      <w:numFmt w:val="chineseCounting"/>
      <w:suff w:val="nothing"/>
      <w:lvlText w:val="%1、"/>
      <w:lvlJc w:val="left"/>
      <w:rPr>
        <w:rFonts w:hint="eastAsia"/>
      </w:rPr>
    </w:lvl>
  </w:abstractNum>
  <w:abstractNum w:abstractNumId="2">
    <w:nsid w:val="B165250F"/>
    <w:multiLevelType w:val="singleLevel"/>
    <w:tmpl w:val="B165250F"/>
    <w:lvl w:ilvl="0" w:tentative="0">
      <w:start w:val="1"/>
      <w:numFmt w:val="decimal"/>
      <w:suff w:val="nothing"/>
      <w:lvlText w:val="%1）"/>
      <w:lvlJc w:val="left"/>
    </w:lvl>
  </w:abstractNum>
  <w:abstractNum w:abstractNumId="3">
    <w:nsid w:val="E6F6D062"/>
    <w:multiLevelType w:val="singleLevel"/>
    <w:tmpl w:val="E6F6D062"/>
    <w:lvl w:ilvl="0" w:tentative="0">
      <w:start w:val="1"/>
      <w:numFmt w:val="decimal"/>
      <w:suff w:val="nothing"/>
      <w:lvlText w:val="%1）"/>
      <w:lvlJc w:val="left"/>
    </w:lvl>
  </w:abstractNum>
  <w:abstractNum w:abstractNumId="4">
    <w:nsid w:val="04E6EC84"/>
    <w:multiLevelType w:val="singleLevel"/>
    <w:tmpl w:val="04E6EC84"/>
    <w:lvl w:ilvl="0" w:tentative="0">
      <w:start w:val="1"/>
      <w:numFmt w:val="decimal"/>
      <w:suff w:val="nothing"/>
      <w:lvlText w:val="%1）"/>
      <w:lvlJc w:val="left"/>
    </w:lvl>
  </w:abstractNum>
  <w:abstractNum w:abstractNumId="5">
    <w:nsid w:val="186F2157"/>
    <w:multiLevelType w:val="multilevel"/>
    <w:tmpl w:val="186F215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1815FC4"/>
    <w:multiLevelType w:val="singleLevel"/>
    <w:tmpl w:val="41815FC4"/>
    <w:lvl w:ilvl="0" w:tentative="0">
      <w:start w:val="1"/>
      <w:numFmt w:val="decimal"/>
      <w:suff w:val="nothing"/>
      <w:lvlText w:val="%1）"/>
      <w:lvlJc w:val="left"/>
    </w:lvl>
  </w:abstractNum>
  <w:abstractNum w:abstractNumId="7">
    <w:nsid w:val="467DAC5F"/>
    <w:multiLevelType w:val="singleLevel"/>
    <w:tmpl w:val="467DAC5F"/>
    <w:lvl w:ilvl="0" w:tentative="0">
      <w:start w:val="1"/>
      <w:numFmt w:val="decimal"/>
      <w:suff w:val="nothing"/>
      <w:lvlText w:val="%1）"/>
      <w:lvlJc w:val="left"/>
    </w:lvl>
  </w:abstractNum>
  <w:abstractNum w:abstractNumId="8">
    <w:nsid w:val="4C0FBCA8"/>
    <w:multiLevelType w:val="singleLevel"/>
    <w:tmpl w:val="4C0FBCA8"/>
    <w:lvl w:ilvl="0" w:tentative="0">
      <w:start w:val="1"/>
      <w:numFmt w:val="decimal"/>
      <w:suff w:val="nothing"/>
      <w:lvlText w:val="%1）"/>
      <w:lvlJc w:val="left"/>
    </w:lvl>
  </w:abstractNum>
  <w:abstractNum w:abstractNumId="9">
    <w:nsid w:val="5824C65A"/>
    <w:multiLevelType w:val="singleLevel"/>
    <w:tmpl w:val="5824C65A"/>
    <w:lvl w:ilvl="0" w:tentative="0">
      <w:start w:val="1"/>
      <w:numFmt w:val="decimal"/>
      <w:suff w:val="nothing"/>
      <w:lvlText w:val="%1）"/>
      <w:lvlJc w:val="left"/>
    </w:lvl>
  </w:abstractNum>
  <w:num w:numId="1">
    <w:abstractNumId w:val="1"/>
  </w:num>
  <w:num w:numId="2">
    <w:abstractNumId w:val="3"/>
  </w:num>
  <w:num w:numId="3">
    <w:abstractNumId w:val="7"/>
  </w:num>
  <w:num w:numId="4">
    <w:abstractNumId w:val="0"/>
  </w:num>
  <w:num w:numId="5">
    <w:abstractNumId w:val="6"/>
  </w:num>
  <w:num w:numId="6">
    <w:abstractNumId w:val="8"/>
  </w:num>
  <w:num w:numId="7">
    <w:abstractNumId w:val="2"/>
  </w:num>
  <w:num w:numId="8">
    <w:abstractNumId w:val="9"/>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1170CF"/>
    <w:rsid w:val="301170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autoSpaceDE w:val="0"/>
      <w:autoSpaceDN w:val="0"/>
      <w:adjustRightInd w:val="0"/>
      <w:spacing w:before="240" w:after="120" w:line="300" w:lineRule="auto"/>
      <w:jc w:val="center"/>
      <w:outlineLvl w:val="0"/>
    </w:pPr>
    <w:rPr>
      <w:rFonts w:ascii="宋体" w:hAnsi="宋体"/>
      <w:b/>
      <w:kern w:val="44"/>
      <w:sz w:val="24"/>
    </w:rPr>
  </w:style>
  <w:style w:type="character" w:default="1" w:styleId="7">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sz w:val="24"/>
    </w:rPr>
  </w:style>
  <w:style w:type="paragraph" w:styleId="4">
    <w:name w:val="annotation text"/>
    <w:basedOn w:val="1"/>
    <w:semiHidden/>
    <w:qFormat/>
    <w:uiPriority w:val="0"/>
    <w:pPr>
      <w:jc w:val="left"/>
    </w:pPr>
  </w:style>
  <w:style w:type="table" w:styleId="6">
    <w:name w:val="Table Grid"/>
    <w:basedOn w:val="5"/>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2022-04-26T08:21:00Z</dcterms:created>
  <dc:creator>1</dc:creator>
  <cp:lastModifiedBy>1</cp:lastModifiedBy>
  <dcterms:modified xsi:type="dcterms:W3CDTF">2022-04-26T08:22:27Z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AEBC3533518245E0A4F87273064EA461</vt:lpwstr>
  </property>
</Properties>
</file>