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50"/>
        <w:jc w:val="center"/>
        <w:rPr>
          <w:color w:val="auto"/>
          <w:highlight w:val="none"/>
        </w:rPr>
      </w:pPr>
      <w:bookmarkStart w:id="1" w:name="_GoBack"/>
      <w:bookmarkStart w:id="0" w:name="_Toc475545836"/>
      <w:r>
        <w:rPr>
          <w:color w:val="auto"/>
          <w:highlight w:val="none"/>
        </w:rPr>
        <w:t>技术需求</w:t>
      </w:r>
      <w:bookmarkEnd w:id="0"/>
    </w:p>
    <w:bookmarkEnd w:id="1"/>
    <w:p>
      <w:pPr>
        <w:numPr>
          <w:ilvl w:val="0"/>
          <w:numId w:val="2"/>
        </w:numPr>
        <w:spacing w:line="360" w:lineRule="auto"/>
        <w:rPr>
          <w:b/>
          <w:color w:val="auto"/>
          <w:szCs w:val="21"/>
          <w:highlight w:val="none"/>
        </w:rPr>
      </w:pPr>
      <w:r>
        <w:rPr>
          <w:b/>
          <w:color w:val="auto"/>
          <w:szCs w:val="21"/>
          <w:highlight w:val="none"/>
        </w:rPr>
        <w:t>项目名称</w:t>
      </w:r>
    </w:p>
    <w:p>
      <w:pPr>
        <w:spacing w:line="360" w:lineRule="auto"/>
        <w:ind w:left="420"/>
        <w:rPr>
          <w:rFonts w:hint="eastAsia"/>
          <w:color w:val="auto"/>
          <w:szCs w:val="21"/>
          <w:highlight w:val="none"/>
        </w:rPr>
      </w:pPr>
      <w:r>
        <w:rPr>
          <w:rFonts w:hint="eastAsia"/>
          <w:color w:val="auto"/>
          <w:szCs w:val="21"/>
          <w:highlight w:val="none"/>
        </w:rPr>
        <w:t>首都博物馆英文官网国际传播项目</w:t>
      </w:r>
    </w:p>
    <w:p>
      <w:pPr>
        <w:numPr>
          <w:ilvl w:val="0"/>
          <w:numId w:val="2"/>
        </w:numPr>
        <w:spacing w:line="360" w:lineRule="auto"/>
        <w:rPr>
          <w:b/>
          <w:color w:val="auto"/>
          <w:szCs w:val="21"/>
          <w:highlight w:val="none"/>
        </w:rPr>
      </w:pPr>
      <w:r>
        <w:rPr>
          <w:b/>
          <w:color w:val="auto"/>
          <w:szCs w:val="21"/>
          <w:highlight w:val="none"/>
        </w:rPr>
        <w:t>预算金额：</w:t>
      </w:r>
    </w:p>
    <w:p>
      <w:pPr>
        <w:spacing w:line="360" w:lineRule="auto"/>
        <w:ind w:left="420"/>
        <w:rPr>
          <w:color w:val="auto"/>
          <w:szCs w:val="21"/>
          <w:highlight w:val="none"/>
        </w:rPr>
      </w:pPr>
      <w:r>
        <w:rPr>
          <w:color w:val="auto"/>
          <w:szCs w:val="21"/>
          <w:highlight w:val="none"/>
        </w:rPr>
        <w:t xml:space="preserve"> </w:t>
      </w:r>
      <w:r>
        <w:rPr>
          <w:rFonts w:hint="eastAsia"/>
          <w:color w:val="auto"/>
          <w:szCs w:val="21"/>
          <w:highlight w:val="none"/>
        </w:rPr>
        <w:t>70</w:t>
      </w:r>
      <w:r>
        <w:rPr>
          <w:color w:val="auto"/>
          <w:szCs w:val="21"/>
          <w:highlight w:val="none"/>
        </w:rPr>
        <w:t>万元</w:t>
      </w:r>
    </w:p>
    <w:p>
      <w:pPr>
        <w:numPr>
          <w:ilvl w:val="0"/>
          <w:numId w:val="2"/>
        </w:numPr>
        <w:spacing w:line="360" w:lineRule="auto"/>
        <w:rPr>
          <w:b/>
          <w:color w:val="auto"/>
          <w:szCs w:val="21"/>
          <w:highlight w:val="none"/>
        </w:rPr>
      </w:pPr>
      <w:r>
        <w:rPr>
          <w:b/>
          <w:color w:val="auto"/>
          <w:szCs w:val="21"/>
          <w:highlight w:val="none"/>
        </w:rPr>
        <w:t>项目概况：</w:t>
      </w:r>
    </w:p>
    <w:p>
      <w:pPr>
        <w:pStyle w:val="4"/>
        <w:rPr>
          <w:rFonts w:hint="eastAsia"/>
          <w:color w:val="auto"/>
          <w:highlight w:val="none"/>
        </w:rPr>
      </w:pPr>
      <w:r>
        <w:rPr>
          <w:rFonts w:hint="eastAsia"/>
          <w:color w:val="auto"/>
          <w:highlight w:val="none"/>
        </w:rPr>
        <w:t>在后疫情时代中，首博英文网站亟需进行内容和结构升级，将英文网站从一个线下观众获取参观信息的线上平台转变为一个多渠道多形式传播博物馆文化的数字化、智能化平台，便于国际受众远程对北京历史文化进行了解，打造永不落幕的博物馆，实现最大化的国际传播效果。具体而言，一是要实现主流展示端口的无插件浏览，一方面加强网站的移动端建设，另一方面为VR端的建设奠定基础；二是将近年来博物馆藏品、出版物、建筑等数字化成果与网站充分结合，在网站上实现高清图片浏览、虚拟展厅游览、3D藏品实览等功能，从而让传统历史文化摆脱时空的桎梏，从而实现快捷的分享与传播。</w:t>
      </w:r>
    </w:p>
    <w:p>
      <w:pPr>
        <w:numPr>
          <w:ilvl w:val="0"/>
          <w:numId w:val="2"/>
        </w:numPr>
        <w:spacing w:line="360" w:lineRule="auto"/>
        <w:rPr>
          <w:b/>
          <w:color w:val="auto"/>
          <w:szCs w:val="21"/>
          <w:highlight w:val="none"/>
        </w:rPr>
      </w:pPr>
      <w:r>
        <w:rPr>
          <w:rFonts w:hint="eastAsia"/>
          <w:b/>
          <w:color w:val="auto"/>
          <w:szCs w:val="21"/>
          <w:highlight w:val="none"/>
        </w:rPr>
        <w:t>软件功能要求</w:t>
      </w:r>
    </w:p>
    <w:tbl>
      <w:tblPr>
        <w:tblStyle w:val="5"/>
        <w:tblW w:w="8884" w:type="dxa"/>
        <w:tblInd w:w="0" w:type="dxa"/>
        <w:tblLayout w:type="fixed"/>
        <w:tblCellMar>
          <w:top w:w="0" w:type="dxa"/>
          <w:left w:w="108" w:type="dxa"/>
          <w:bottom w:w="0" w:type="dxa"/>
          <w:right w:w="108" w:type="dxa"/>
        </w:tblCellMar>
      </w:tblPr>
      <w:tblGrid>
        <w:gridCol w:w="502"/>
        <w:gridCol w:w="1265"/>
        <w:gridCol w:w="1368"/>
        <w:gridCol w:w="730"/>
        <w:gridCol w:w="560"/>
        <w:gridCol w:w="4459"/>
      </w:tblGrid>
      <w:tr>
        <w:tblPrEx>
          <w:tblLayout w:type="fixed"/>
          <w:tblCellMar>
            <w:top w:w="0" w:type="dxa"/>
            <w:left w:w="108" w:type="dxa"/>
            <w:bottom w:w="0" w:type="dxa"/>
            <w:right w:w="108" w:type="dxa"/>
          </w:tblCellMar>
        </w:tblPrEx>
        <w:trPr>
          <w:trHeight w:val="360" w:hRule="atLeast"/>
        </w:trPr>
        <w:tc>
          <w:tcPr>
            <w:tcW w:w="502" w:type="dxa"/>
            <w:tcBorders>
              <w:top w:val="single" w:color="auto" w:sz="4" w:space="0"/>
              <w:left w:val="single" w:color="auto" w:sz="4" w:space="0"/>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1265" w:type="dxa"/>
            <w:tcBorders>
              <w:top w:val="single" w:color="auto" w:sz="4" w:space="0"/>
              <w:left w:val="nil"/>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明细项目</w:t>
            </w:r>
          </w:p>
        </w:tc>
        <w:tc>
          <w:tcPr>
            <w:tcW w:w="1368" w:type="dxa"/>
            <w:tcBorders>
              <w:top w:val="single" w:color="auto" w:sz="4" w:space="0"/>
              <w:left w:val="nil"/>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软件模块</w:t>
            </w:r>
          </w:p>
        </w:tc>
        <w:tc>
          <w:tcPr>
            <w:tcW w:w="730" w:type="dxa"/>
            <w:tcBorders>
              <w:top w:val="single" w:color="auto" w:sz="4" w:space="0"/>
              <w:left w:val="nil"/>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计量单位</w:t>
            </w:r>
          </w:p>
        </w:tc>
        <w:tc>
          <w:tcPr>
            <w:tcW w:w="560" w:type="dxa"/>
            <w:tcBorders>
              <w:top w:val="single" w:color="auto" w:sz="4" w:space="0"/>
              <w:left w:val="nil"/>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4459" w:type="dxa"/>
            <w:tcBorders>
              <w:top w:val="single" w:color="auto" w:sz="4" w:space="0"/>
              <w:left w:val="nil"/>
              <w:bottom w:val="single" w:color="auto" w:sz="4" w:space="0"/>
              <w:right w:val="single" w:color="auto" w:sz="4" w:space="0"/>
            </w:tcBorders>
            <w:shd w:val="clear" w:color="000000" w:fill="A5A5A5"/>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模块说明</w:t>
            </w:r>
          </w:p>
        </w:tc>
      </w:tr>
      <w:tr>
        <w:tblPrEx>
          <w:tblLayout w:type="fixed"/>
          <w:tblCellMar>
            <w:top w:w="0" w:type="dxa"/>
            <w:left w:w="108" w:type="dxa"/>
            <w:bottom w:w="0" w:type="dxa"/>
            <w:right w:w="108" w:type="dxa"/>
          </w:tblCellMar>
        </w:tblPrEx>
        <w:trPr>
          <w:trHeight w:val="1163" w:hRule="atLeast"/>
        </w:trPr>
        <w:tc>
          <w:tcPr>
            <w:tcW w:w="502" w:type="dxa"/>
            <w:vMerge w:val="restart"/>
            <w:tcBorders>
              <w:top w:val="nil"/>
              <w:left w:val="single" w:color="auto" w:sz="4" w:space="0"/>
              <w:bottom w:val="single" w:color="auto" w:sz="4" w:space="0"/>
              <w:right w:val="single" w:color="auto" w:sz="4" w:space="0"/>
            </w:tcBorders>
            <w:shd w:val="clear" w:color="000000" w:fill="A5A5A5"/>
            <w:noWrap w:val="0"/>
            <w:vAlign w:val="center"/>
          </w:tcPr>
          <w:p>
            <w:pPr>
              <w:widowControl/>
              <w:rPr>
                <w:rFonts w:hint="eastAsia" w:ascii="宋体" w:hAnsi="宋体" w:cs="宋体"/>
                <w:b/>
                <w:bCs/>
                <w:color w:val="auto"/>
                <w:szCs w:val="21"/>
                <w:highlight w:val="none"/>
              </w:rPr>
            </w:pPr>
            <w:r>
              <w:rPr>
                <w:rFonts w:hint="eastAsia" w:ascii="宋体" w:hAnsi="宋体" w:cs="宋体"/>
                <w:b/>
                <w:bCs/>
                <w:color w:val="auto"/>
                <w:szCs w:val="21"/>
                <w:highlight w:val="none"/>
              </w:rPr>
              <w:t>移动端建设</w:t>
            </w: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网站策划及系统分析</w:t>
            </w: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策划及系统网站</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个</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调研、访谈深化需求，设计网站架构。</w:t>
            </w:r>
          </w:p>
        </w:tc>
      </w:tr>
      <w:tr>
        <w:tblPrEx>
          <w:tblLayout w:type="fixed"/>
          <w:tblCellMar>
            <w:top w:w="0" w:type="dxa"/>
            <w:left w:w="108" w:type="dxa"/>
            <w:bottom w:w="0" w:type="dxa"/>
            <w:right w:w="108" w:type="dxa"/>
          </w:tblCellMar>
        </w:tblPrEx>
        <w:trPr>
          <w:trHeight w:val="1421"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前端程序开发</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前端程序</w:t>
            </w: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个</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16</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设计用户可见的界面，如特效、布局、图片、视频，音频等内容，将美工设计的效果图的设计成浏览器可以运行的网页，并配合后端做网页的数据显示和交互等。包括1个首页和不低于20个二级三级内容页面的设计和维护。</w:t>
            </w:r>
          </w:p>
        </w:tc>
      </w:tr>
      <w:tr>
        <w:tblPrEx>
          <w:tblLayout w:type="fixed"/>
          <w:tblCellMar>
            <w:top w:w="0" w:type="dxa"/>
            <w:left w:w="108" w:type="dxa"/>
            <w:bottom w:w="0" w:type="dxa"/>
            <w:right w:w="108" w:type="dxa"/>
          </w:tblCellMar>
        </w:tblPrEx>
        <w:trPr>
          <w:trHeight w:val="1371"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后端程序开发</w:t>
            </w: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后端程序</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编写服务器端代码，编写与数据库交互的代码，确保服务器端代码是安全的，没有漏洞，确保服务器端代码优化到足以处理大量流量，在线部署代码，以便其他人可以使用您的服务。</w:t>
            </w:r>
          </w:p>
        </w:tc>
      </w:tr>
      <w:tr>
        <w:tblPrEx>
          <w:tblLayout w:type="fixed"/>
          <w:tblCellMar>
            <w:top w:w="0" w:type="dxa"/>
            <w:left w:w="108" w:type="dxa"/>
            <w:bottom w:w="0" w:type="dxa"/>
            <w:right w:w="108" w:type="dxa"/>
          </w:tblCellMar>
        </w:tblPrEx>
        <w:trPr>
          <w:trHeight w:val="1182"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UE用户体验设计</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UE用户体验模块</w:t>
            </w: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保证对用户体验有正确的预估，认识用户的真实期望和目的，在功能核心还能够以低廉成本加以修改的时候对设计进行修正，保证功能核心同人机界面之间的协调工作，减少BUG。</w:t>
            </w:r>
          </w:p>
        </w:tc>
      </w:tr>
      <w:tr>
        <w:tblPrEx>
          <w:tblLayout w:type="fixed"/>
          <w:tblCellMar>
            <w:top w:w="0" w:type="dxa"/>
            <w:left w:w="108" w:type="dxa"/>
            <w:bottom w:w="0" w:type="dxa"/>
            <w:right w:w="108" w:type="dxa"/>
          </w:tblCellMar>
        </w:tblPrEx>
        <w:trPr>
          <w:trHeight w:val="1543"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程序及数据库开发</w:t>
            </w:r>
          </w:p>
          <w:p>
            <w:pPr>
              <w:rPr>
                <w:rFonts w:hint="eastAsia" w:ascii="宋体" w:hAnsi="宋体" w:cs="宋体"/>
                <w:color w:val="auto"/>
                <w:szCs w:val="21"/>
                <w:highlight w:val="none"/>
              </w:rPr>
            </w:pP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数据库程序</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分析网站数据内容，分析网站的数据内容之间的联系，设计概念、逻辑结构，数据模型优化，设计物理结构，评价设计，性能预测，物理实现，实验性运行。</w:t>
            </w:r>
          </w:p>
        </w:tc>
      </w:tr>
      <w:tr>
        <w:tblPrEx>
          <w:tblLayout w:type="fixed"/>
          <w:tblCellMar>
            <w:top w:w="0" w:type="dxa"/>
            <w:left w:w="108" w:type="dxa"/>
            <w:bottom w:w="0" w:type="dxa"/>
            <w:right w:w="108" w:type="dxa"/>
          </w:tblCellMar>
        </w:tblPrEx>
        <w:trPr>
          <w:trHeight w:val="1121"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系统测试及售后服务</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ascii="宋体" w:hAnsi="宋体" w:cs="宋体"/>
                <w:color w:val="auto"/>
                <w:szCs w:val="21"/>
                <w:highlight w:val="none"/>
              </w:rPr>
            </w:pPr>
            <w:r>
              <w:rPr>
                <w:rFonts w:hint="eastAsia" w:ascii="宋体" w:hAnsi="宋体" w:cs="宋体"/>
                <w:color w:val="auto"/>
                <w:szCs w:val="21"/>
                <w:highlight w:val="none"/>
              </w:rPr>
              <w:t>系统测试及售后服务要求</w:t>
            </w:r>
          </w:p>
          <w:p>
            <w:pPr>
              <w:widowControl/>
              <w:rPr>
                <w:rFonts w:hint="eastAsia" w:ascii="宋体" w:hAnsi="宋体" w:cs="宋体"/>
                <w:color w:val="auto"/>
                <w:szCs w:val="21"/>
                <w:highlight w:val="none"/>
              </w:rPr>
            </w:pP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年</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完成网站的操作培训服务，修改完善网站BUG，优化网站对接服务，小幅调整功能和频道，完成网站改版和升级。</w:t>
            </w:r>
          </w:p>
        </w:tc>
      </w:tr>
      <w:tr>
        <w:tblPrEx>
          <w:tblLayout w:type="fixed"/>
          <w:tblCellMar>
            <w:top w:w="0" w:type="dxa"/>
            <w:left w:w="108" w:type="dxa"/>
            <w:bottom w:w="0" w:type="dxa"/>
            <w:right w:w="108" w:type="dxa"/>
          </w:tblCellMar>
        </w:tblPrEx>
        <w:trPr>
          <w:trHeight w:val="1120" w:hRule="atLeast"/>
        </w:trPr>
        <w:tc>
          <w:tcPr>
            <w:tcW w:w="502" w:type="dxa"/>
            <w:vMerge w:val="restart"/>
            <w:tcBorders>
              <w:top w:val="nil"/>
              <w:left w:val="single" w:color="auto" w:sz="4" w:space="0"/>
              <w:bottom w:val="single" w:color="auto" w:sz="4" w:space="0"/>
              <w:right w:val="single" w:color="auto" w:sz="4" w:space="0"/>
            </w:tcBorders>
            <w:shd w:val="clear" w:color="000000" w:fill="A5A5A5"/>
            <w:noWrap w:val="0"/>
            <w:vAlign w:val="center"/>
          </w:tcPr>
          <w:p>
            <w:pPr>
              <w:widowControl/>
              <w:rPr>
                <w:rFonts w:hint="eastAsia" w:ascii="宋体" w:hAnsi="宋体" w:cs="宋体"/>
                <w:b/>
                <w:bCs/>
                <w:color w:val="auto"/>
                <w:szCs w:val="21"/>
                <w:highlight w:val="none"/>
              </w:rPr>
            </w:pPr>
            <w:r>
              <w:rPr>
                <w:rFonts w:hint="eastAsia" w:ascii="宋体" w:hAnsi="宋体" w:cs="宋体"/>
                <w:b/>
                <w:bCs/>
                <w:color w:val="auto"/>
                <w:szCs w:val="21"/>
                <w:highlight w:val="none"/>
              </w:rPr>
              <w:t>游戏开发</w:t>
            </w: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游戏UI设计</w:t>
            </w: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游戏UI模块</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设计游戏界面，游戏界面拼接、切图，设计游戏图标、LOGO，设计游戏广告，交互设计理念应用，把控多风格的设计</w:t>
            </w:r>
          </w:p>
        </w:tc>
      </w:tr>
      <w:tr>
        <w:tblPrEx>
          <w:tblLayout w:type="fixed"/>
          <w:tblCellMar>
            <w:top w:w="0" w:type="dxa"/>
            <w:left w:w="108" w:type="dxa"/>
            <w:bottom w:w="0" w:type="dxa"/>
            <w:right w:w="108" w:type="dxa"/>
          </w:tblCellMar>
        </w:tblPrEx>
        <w:trPr>
          <w:trHeight w:val="995"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游戏动画特效制作</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游戏动画特效模块</w:t>
            </w: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运用3D制作技术具体建立游戏世界，包括角色、道具、场景等，包括模型制作、贴图制作。游戏特效分镜设计、切片动画、特效贴图制作、粒子特效制。</w:t>
            </w:r>
          </w:p>
        </w:tc>
      </w:tr>
      <w:tr>
        <w:tblPrEx>
          <w:tblLayout w:type="fixed"/>
          <w:tblCellMar>
            <w:top w:w="0" w:type="dxa"/>
            <w:left w:w="108" w:type="dxa"/>
            <w:bottom w:w="0" w:type="dxa"/>
            <w:right w:w="108" w:type="dxa"/>
          </w:tblCellMar>
        </w:tblPrEx>
        <w:trPr>
          <w:trHeight w:val="1760"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网页后端程序开发</w:t>
            </w: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网页后端程序</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秒</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配合主程序完成游戏架构及各大功能的设计、开发、调试和其他技术支持；完成游戏开发工具和运营维护工具的设计与开发；完成游戏服务器端模块代码及相关文档的书写、优化对已完成代码进行单元测试；管理维护游戏平台的制作与运行。</w:t>
            </w:r>
          </w:p>
        </w:tc>
      </w:tr>
      <w:tr>
        <w:tblPrEx>
          <w:tblLayout w:type="fixed"/>
          <w:tblCellMar>
            <w:top w:w="0" w:type="dxa"/>
            <w:left w:w="108" w:type="dxa"/>
            <w:bottom w:w="0" w:type="dxa"/>
            <w:right w:w="108" w:type="dxa"/>
          </w:tblCellMar>
        </w:tblPrEx>
        <w:trPr>
          <w:trHeight w:val="2637" w:hRule="atLeast"/>
        </w:trPr>
        <w:tc>
          <w:tcPr>
            <w:tcW w:w="502" w:type="dxa"/>
            <w:vMerge w:val="restart"/>
            <w:tcBorders>
              <w:top w:val="nil"/>
              <w:left w:val="single" w:color="auto" w:sz="4" w:space="0"/>
              <w:bottom w:val="single" w:color="auto" w:sz="4" w:space="0"/>
              <w:right w:val="single" w:color="auto" w:sz="4" w:space="0"/>
            </w:tcBorders>
            <w:shd w:val="clear" w:color="000000" w:fill="A5A5A5"/>
            <w:noWrap w:val="0"/>
            <w:vAlign w:val="center"/>
          </w:tcPr>
          <w:p>
            <w:pPr>
              <w:widowControl/>
              <w:rPr>
                <w:rFonts w:hint="eastAsia" w:ascii="宋体" w:hAnsi="宋体" w:cs="宋体"/>
                <w:b/>
                <w:bCs/>
                <w:color w:val="auto"/>
                <w:szCs w:val="21"/>
                <w:highlight w:val="none"/>
              </w:rPr>
            </w:pPr>
            <w:r>
              <w:rPr>
                <w:rFonts w:hint="eastAsia" w:ascii="宋体" w:hAnsi="宋体" w:cs="宋体"/>
                <w:b/>
                <w:bCs/>
                <w:color w:val="auto"/>
                <w:szCs w:val="21"/>
                <w:highlight w:val="none"/>
              </w:rPr>
              <w:t>网站无障碍设计</w:t>
            </w: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无障碍网页前端设计</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无障碍前端网页程序</w:t>
            </w: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个</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50</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全网站遵循WCAG2.0进行无障碍网页设计，为50个一、二、三级页面进行无障碍设计，符合XHTML1.0技术规则，适用于盲用读屏软件。全网站页面可用键盘操作，不限于鼠标；网站设置导盲砖快速键（:::），使用者可快速到达各主要区块；网页图片均标示文字说明；所有链接均添加提示文字；对于网页色调，框架、语言等提供了相应的改造办法。</w:t>
            </w:r>
          </w:p>
        </w:tc>
      </w:tr>
      <w:tr>
        <w:tblPrEx>
          <w:tblLayout w:type="fixed"/>
          <w:tblCellMar>
            <w:top w:w="0" w:type="dxa"/>
            <w:left w:w="108" w:type="dxa"/>
            <w:bottom w:w="0" w:type="dxa"/>
            <w:right w:w="108" w:type="dxa"/>
          </w:tblCellMar>
        </w:tblPrEx>
        <w:trPr>
          <w:trHeight w:val="832"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自动发声技术</w:t>
            </w:r>
          </w:p>
        </w:tc>
        <w:tc>
          <w:tcPr>
            <w:tcW w:w="1368"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自动发声网站</w:t>
            </w:r>
          </w:p>
        </w:tc>
        <w:tc>
          <w:tcPr>
            <w:tcW w:w="73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E1E1E1"/>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采用网站自动发声技术，提供语音版网站。将网站中英文网页文字信息直接转换成标准流畅的语音文件。</w:t>
            </w:r>
          </w:p>
        </w:tc>
      </w:tr>
      <w:tr>
        <w:tblPrEx>
          <w:tblLayout w:type="fixed"/>
          <w:tblCellMar>
            <w:top w:w="0" w:type="dxa"/>
            <w:left w:w="108" w:type="dxa"/>
            <w:bottom w:w="0" w:type="dxa"/>
            <w:right w:w="108" w:type="dxa"/>
          </w:tblCellMar>
        </w:tblPrEx>
        <w:trPr>
          <w:trHeight w:val="844" w:hRule="atLeast"/>
        </w:trPr>
        <w:tc>
          <w:tcPr>
            <w:tcW w:w="50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bCs/>
                <w:color w:val="auto"/>
                <w:szCs w:val="21"/>
                <w:highlight w:val="none"/>
              </w:rPr>
            </w:pPr>
          </w:p>
        </w:tc>
        <w:tc>
          <w:tcPr>
            <w:tcW w:w="1265"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浏览辅助工具</w:t>
            </w:r>
          </w:p>
        </w:tc>
        <w:tc>
          <w:tcPr>
            <w:tcW w:w="1368"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浏览辅助工具</w:t>
            </w:r>
          </w:p>
        </w:tc>
        <w:tc>
          <w:tcPr>
            <w:tcW w:w="73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套</w:t>
            </w:r>
          </w:p>
        </w:tc>
        <w:tc>
          <w:tcPr>
            <w:tcW w:w="560"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1</w:t>
            </w:r>
          </w:p>
        </w:tc>
        <w:tc>
          <w:tcPr>
            <w:tcW w:w="4459" w:type="dxa"/>
            <w:tcBorders>
              <w:top w:val="nil"/>
              <w:left w:val="nil"/>
              <w:bottom w:val="single" w:color="auto" w:sz="4" w:space="0"/>
              <w:right w:val="single" w:color="auto" w:sz="4" w:space="0"/>
            </w:tcBorders>
            <w:shd w:val="clear" w:color="000000" w:fill="F0F0F0"/>
            <w:noWrap w:val="0"/>
            <w:vAlign w:val="top"/>
          </w:tcPr>
          <w:p>
            <w:pPr>
              <w:widowControl/>
              <w:rPr>
                <w:rFonts w:hint="eastAsia" w:ascii="宋体" w:hAnsi="宋体" w:cs="宋体"/>
                <w:color w:val="auto"/>
                <w:szCs w:val="21"/>
                <w:highlight w:val="none"/>
              </w:rPr>
            </w:pPr>
            <w:r>
              <w:rPr>
                <w:rFonts w:hint="eastAsia" w:ascii="宋体" w:hAnsi="宋体" w:cs="宋体"/>
                <w:color w:val="auto"/>
                <w:szCs w:val="21"/>
                <w:highlight w:val="none"/>
              </w:rPr>
              <w:t>提供网站浏览辅助工具，适用于视力有障碍人群、认知能力有障碍的残疾人和老年人。</w:t>
            </w:r>
          </w:p>
        </w:tc>
      </w:tr>
    </w:tbl>
    <w:p>
      <w:pPr>
        <w:numPr>
          <w:ilvl w:val="0"/>
          <w:numId w:val="2"/>
        </w:numPr>
        <w:spacing w:line="360" w:lineRule="auto"/>
        <w:rPr>
          <w:b/>
          <w:color w:val="auto"/>
          <w:szCs w:val="21"/>
          <w:highlight w:val="none"/>
        </w:rPr>
      </w:pPr>
      <w:r>
        <w:rPr>
          <w:rFonts w:hint="eastAsia"/>
          <w:b/>
          <w:color w:val="auto"/>
          <w:szCs w:val="21"/>
          <w:highlight w:val="none"/>
        </w:rPr>
        <w:t>团队要求</w:t>
      </w:r>
    </w:p>
    <w:p>
      <w:pPr>
        <w:pStyle w:val="4"/>
        <w:spacing w:line="360" w:lineRule="auto"/>
        <w:rPr>
          <w:color w:val="auto"/>
          <w:highlight w:val="none"/>
        </w:rPr>
      </w:pPr>
      <w:r>
        <w:rPr>
          <w:rFonts w:hint="eastAsia"/>
          <w:color w:val="auto"/>
          <w:highlight w:val="none"/>
        </w:rPr>
        <w:t>团队须拥有并提供“移动端类型及相关”、“博物馆类型及相关”、“物体数字化类型及相关”、“网页或软件平台类型”的软件著作权。</w:t>
      </w:r>
    </w:p>
    <w:p>
      <w:pPr>
        <w:numPr>
          <w:ilvl w:val="0"/>
          <w:numId w:val="2"/>
        </w:numPr>
        <w:spacing w:line="360" w:lineRule="auto"/>
        <w:rPr>
          <w:b/>
          <w:color w:val="auto"/>
          <w:szCs w:val="21"/>
          <w:highlight w:val="none"/>
        </w:rPr>
      </w:pPr>
      <w:r>
        <w:rPr>
          <w:b/>
          <w:color w:val="auto"/>
          <w:szCs w:val="21"/>
          <w:highlight w:val="none"/>
        </w:rPr>
        <w:t>其他</w:t>
      </w:r>
    </w:p>
    <w:p>
      <w:pPr>
        <w:spacing w:line="360" w:lineRule="auto"/>
        <w:ind w:firstLine="422" w:firstLineChars="200"/>
        <w:rPr>
          <w:b/>
          <w:color w:val="auto"/>
          <w:szCs w:val="21"/>
          <w:highlight w:val="none"/>
        </w:rPr>
      </w:pPr>
      <w:r>
        <w:rPr>
          <w:b/>
          <w:color w:val="auto"/>
          <w:szCs w:val="21"/>
          <w:highlight w:val="none"/>
        </w:rPr>
        <w:t>1、项目期限</w:t>
      </w:r>
    </w:p>
    <w:p>
      <w:pPr>
        <w:spacing w:line="360" w:lineRule="auto"/>
        <w:ind w:left="420"/>
        <w:rPr>
          <w:rFonts w:hint="eastAsia"/>
          <w:bCs/>
          <w:color w:val="auto"/>
          <w:szCs w:val="21"/>
          <w:highlight w:val="none"/>
        </w:rPr>
      </w:pPr>
      <w:r>
        <w:rPr>
          <w:rFonts w:hint="eastAsia"/>
          <w:bCs/>
          <w:color w:val="auto"/>
          <w:szCs w:val="21"/>
          <w:highlight w:val="none"/>
        </w:rPr>
        <w:t>全部软件于收到首付款后120个工作日内交付完成，如因甲方的配合原因，造成延误，双方可共同协商顺延的交付时间，延期不得超过三次，交付时间不晚于2022年12月01日。</w:t>
      </w:r>
    </w:p>
    <w:p>
      <w:pPr>
        <w:spacing w:line="360" w:lineRule="auto"/>
        <w:ind w:left="420"/>
        <w:rPr>
          <w:b/>
          <w:color w:val="auto"/>
          <w:szCs w:val="21"/>
          <w:highlight w:val="none"/>
        </w:rPr>
      </w:pPr>
      <w:r>
        <w:rPr>
          <w:b/>
          <w:color w:val="auto"/>
          <w:szCs w:val="21"/>
          <w:highlight w:val="none"/>
        </w:rPr>
        <w:t>2、付款方式</w:t>
      </w:r>
    </w:p>
    <w:p>
      <w:pPr>
        <w:pStyle w:val="4"/>
        <w:ind w:left="0" w:leftChars="0"/>
        <w:rPr>
          <w:bCs/>
          <w:color w:val="auto"/>
          <w:szCs w:val="21"/>
          <w:highlight w:val="none"/>
        </w:rPr>
      </w:pPr>
      <w:r>
        <w:rPr>
          <w:bCs/>
          <w:color w:val="auto"/>
          <w:szCs w:val="21"/>
          <w:highlight w:val="none"/>
        </w:rPr>
        <w:t>见合同样本。</w:t>
      </w:r>
    </w:p>
    <w:p>
      <w:pPr>
        <w:spacing w:line="360" w:lineRule="auto"/>
        <w:ind w:left="420"/>
        <w:rPr>
          <w:b/>
          <w:color w:val="auto"/>
          <w:szCs w:val="21"/>
          <w:highlight w:val="none"/>
        </w:rPr>
      </w:pPr>
      <w:r>
        <w:rPr>
          <w:rFonts w:hint="eastAsia"/>
          <w:b/>
          <w:color w:val="auto"/>
          <w:szCs w:val="21"/>
          <w:highlight w:val="none"/>
        </w:rPr>
        <w:t>3、</w:t>
      </w:r>
      <w:r>
        <w:rPr>
          <w:b/>
          <w:color w:val="auto"/>
          <w:szCs w:val="21"/>
          <w:highlight w:val="none"/>
        </w:rPr>
        <w:t>售后</w:t>
      </w:r>
    </w:p>
    <w:p>
      <w:pPr>
        <w:spacing w:line="360" w:lineRule="auto"/>
        <w:ind w:left="420"/>
        <w:rPr>
          <w:bCs/>
          <w:color w:val="auto"/>
          <w:szCs w:val="21"/>
          <w:highlight w:val="none"/>
        </w:rPr>
      </w:pPr>
      <w:r>
        <w:rPr>
          <w:rFonts w:hint="eastAsia"/>
          <w:bCs/>
          <w:color w:val="auto"/>
          <w:szCs w:val="21"/>
          <w:highlight w:val="none"/>
        </w:rPr>
        <w:t>见合同样本。</w:t>
      </w:r>
    </w:p>
    <w:p>
      <w:pPr>
        <w:spacing w:line="360" w:lineRule="auto"/>
        <w:ind w:left="420"/>
        <w:rPr>
          <w:b/>
          <w:color w:val="auto"/>
          <w:szCs w:val="21"/>
          <w:highlight w:val="none"/>
        </w:rPr>
      </w:pPr>
      <w:r>
        <w:rPr>
          <w:rFonts w:hint="eastAsia"/>
          <w:b/>
          <w:color w:val="auto"/>
          <w:szCs w:val="21"/>
          <w:highlight w:val="none"/>
        </w:rPr>
        <w:t>4</w:t>
      </w:r>
      <w:r>
        <w:rPr>
          <w:b/>
          <w:color w:val="auto"/>
          <w:szCs w:val="21"/>
          <w:highlight w:val="none"/>
        </w:rPr>
        <w:t>、知识产权约定</w:t>
      </w:r>
    </w:p>
    <w:p>
      <w:pPr>
        <w:pStyle w:val="4"/>
        <w:ind w:left="0" w:leftChars="0"/>
        <w:rPr>
          <w:bCs/>
          <w:color w:val="auto"/>
          <w:szCs w:val="21"/>
          <w:highlight w:val="none"/>
        </w:rPr>
      </w:pPr>
      <w:r>
        <w:rPr>
          <w:bCs/>
          <w:color w:val="auto"/>
          <w:szCs w:val="21"/>
          <w:highlight w:val="none"/>
        </w:rPr>
        <w:t>知识产权约定，软件需提交全部安装代码和全部源代码，知识产权归甲方。</w:t>
      </w:r>
    </w:p>
    <w:p>
      <w:pPr>
        <w:spacing w:line="360" w:lineRule="auto"/>
        <w:ind w:left="420"/>
        <w:rPr>
          <w:b/>
          <w:color w:val="auto"/>
          <w:szCs w:val="21"/>
          <w:highlight w:val="none"/>
        </w:rPr>
      </w:pPr>
      <w:r>
        <w:rPr>
          <w:rFonts w:hint="eastAsia"/>
          <w:b/>
          <w:color w:val="auto"/>
          <w:szCs w:val="21"/>
          <w:highlight w:val="none"/>
        </w:rPr>
        <w:t>5、</w:t>
      </w:r>
      <w:r>
        <w:rPr>
          <w:b/>
          <w:color w:val="auto"/>
          <w:szCs w:val="21"/>
          <w:highlight w:val="none"/>
        </w:rPr>
        <w:t>培训要求</w:t>
      </w:r>
    </w:p>
    <w:p>
      <w:pPr>
        <w:pStyle w:val="4"/>
        <w:ind w:left="0" w:leftChars="0"/>
        <w:rPr>
          <w:bCs/>
          <w:color w:val="auto"/>
          <w:szCs w:val="21"/>
          <w:highlight w:val="none"/>
        </w:rPr>
      </w:pPr>
      <w:r>
        <w:rPr>
          <w:bCs/>
          <w:color w:val="auto"/>
          <w:szCs w:val="21"/>
          <w:highlight w:val="none"/>
        </w:rPr>
        <w:t>提供使用和操作培训不少于2天</w:t>
      </w:r>
      <w:r>
        <w:rPr>
          <w:rFonts w:hint="eastAsia"/>
          <w:bCs/>
          <w:color w:val="auto"/>
          <w:szCs w:val="21"/>
          <w:highlight w:val="none"/>
        </w:rPr>
        <w:t>。</w:t>
      </w:r>
    </w:p>
    <w:p>
      <w:pPr>
        <w:pStyle w:val="4"/>
        <w:ind w:firstLine="0" w:firstLineChars="0"/>
        <w:rPr>
          <w:b/>
          <w:color w:val="auto"/>
          <w:szCs w:val="21"/>
          <w:highlight w:val="none"/>
        </w:rPr>
      </w:pPr>
      <w:r>
        <w:rPr>
          <w:rFonts w:hint="eastAsia"/>
          <w:b/>
          <w:color w:val="auto"/>
          <w:szCs w:val="21"/>
          <w:highlight w:val="none"/>
        </w:rPr>
        <w:t>6、</w:t>
      </w:r>
      <w:r>
        <w:rPr>
          <w:b/>
          <w:color w:val="auto"/>
          <w:szCs w:val="21"/>
          <w:highlight w:val="none"/>
        </w:rPr>
        <w:t>提交文档要求</w:t>
      </w:r>
    </w:p>
    <w:p>
      <w:pPr>
        <w:pStyle w:val="4"/>
        <w:ind w:left="0" w:leftChars="0"/>
        <w:rPr>
          <w:bCs/>
          <w:color w:val="auto"/>
          <w:szCs w:val="21"/>
          <w:highlight w:val="none"/>
        </w:rPr>
      </w:pPr>
      <w:r>
        <w:rPr>
          <w:bCs/>
          <w:color w:val="auto"/>
          <w:szCs w:val="21"/>
          <w:highlight w:val="none"/>
        </w:rPr>
        <w:t>包括但不限于软件开发文档，需求分析，概要详细设计，测试文档，使用说明书等。</w:t>
      </w:r>
    </w:p>
    <w:p/>
    <w:sectPr>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74DD"/>
    <w:multiLevelType w:val="multilevel"/>
    <w:tmpl w:val="0FE574DD"/>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B640A8"/>
    <w:multiLevelType w:val="multilevel"/>
    <w:tmpl w:val="58B640A8"/>
    <w:lvl w:ilvl="0" w:tentative="0">
      <w:start w:val="1"/>
      <w:numFmt w:val="chineseCountingThousand"/>
      <w:pStyle w:val="2"/>
      <w:lvlText w:val="第%1部分"/>
      <w:lvlJc w:val="left"/>
      <w:pPr>
        <w:ind w:left="1135"/>
      </w:pPr>
      <w:rPr>
        <w:rFonts w:hint="eastAsia" w:cs="Times New Roman"/>
        <w:i w:val="0"/>
        <w:iCs w:val="0"/>
        <w:caps w:val="0"/>
        <w:smallCaps w:val="0"/>
        <w:strike w:val="0"/>
        <w:dstrike w:val="0"/>
        <w:vanish w:val="0"/>
        <w:spacing w:val="0"/>
        <w:position w:val="0"/>
        <w:u w:val="none"/>
        <w:vertAlign w:val="baseline"/>
      </w:rPr>
    </w:lvl>
    <w:lvl w:ilvl="1" w:tentative="0">
      <w:start w:val="1"/>
      <w:numFmt w:val="decimal"/>
      <w:isLgl/>
      <w:lvlText w:val="%2"/>
      <w:lvlJc w:val="left"/>
      <w:pPr>
        <w:ind w:left="5528"/>
      </w:pPr>
      <w:rPr>
        <w:rFonts w:hint="eastAsia" w:cs="Times New Roman"/>
      </w:rPr>
    </w:lvl>
    <w:lvl w:ilvl="2" w:tentative="0">
      <w:start w:val="1"/>
      <w:numFmt w:val="decimal"/>
      <w:lvlText w:val="%2.%3"/>
      <w:lvlJc w:val="left"/>
      <w:pPr>
        <w:ind w:left="5528"/>
      </w:pPr>
      <w:rPr>
        <w:rFonts w:hint="eastAsia" w:cs="Times New Roman"/>
      </w:rPr>
    </w:lvl>
    <w:lvl w:ilvl="3" w:tentative="0">
      <w:start w:val="1"/>
      <w:numFmt w:val="decimal"/>
      <w:lvlText w:val="%2.%3.%4"/>
      <w:lvlJc w:val="left"/>
      <w:pPr>
        <w:ind w:left="5528"/>
      </w:pPr>
      <w:rPr>
        <w:rFonts w:hint="eastAsia" w:cs="Times New Roman"/>
      </w:rPr>
    </w:lvl>
    <w:lvl w:ilvl="4" w:tentative="0">
      <w:start w:val="1"/>
      <w:numFmt w:val="decimal"/>
      <w:lvlText w:val="%2.%3.%4.%5"/>
      <w:lvlJc w:val="left"/>
      <w:pPr>
        <w:ind w:left="5528"/>
      </w:pPr>
      <w:rPr>
        <w:rFonts w:hint="eastAsia" w:cs="Times New Roman"/>
      </w:rPr>
    </w:lvl>
    <w:lvl w:ilvl="5" w:tentative="0">
      <w:start w:val="1"/>
      <w:numFmt w:val="decimal"/>
      <w:lvlText w:val="%2.%3.%4.%5.%6"/>
      <w:lvlJc w:val="left"/>
      <w:pPr>
        <w:ind w:left="5528"/>
      </w:pPr>
      <w:rPr>
        <w:rFonts w:hint="eastAsia" w:cs="Times New Roman"/>
      </w:rPr>
    </w:lvl>
    <w:lvl w:ilvl="6" w:tentative="0">
      <w:start w:val="1"/>
      <w:numFmt w:val="decimal"/>
      <w:lvlText w:val="%2.%3.%4.%5.%6.%7"/>
      <w:lvlJc w:val="left"/>
      <w:pPr>
        <w:ind w:left="5528"/>
      </w:pPr>
      <w:rPr>
        <w:rFonts w:hint="eastAsia" w:cs="Times New Roman"/>
      </w:rPr>
    </w:lvl>
    <w:lvl w:ilvl="7" w:tentative="0">
      <w:start w:val="1"/>
      <w:numFmt w:val="decimal"/>
      <w:lvlText w:val="%2.%3.%4.%5.%6.%7.%8"/>
      <w:lvlJc w:val="left"/>
      <w:pPr>
        <w:ind w:left="5528"/>
      </w:pPr>
      <w:rPr>
        <w:rFonts w:hint="eastAsia" w:cs="Times New Roman"/>
      </w:rPr>
    </w:lvl>
    <w:lvl w:ilvl="8" w:tentative="0">
      <w:start w:val="1"/>
      <w:numFmt w:val="decimal"/>
      <w:lvlText w:val="%2.%3.%4.%5.%6.%7.%8.%9"/>
      <w:lvlJc w:val="left"/>
      <w:pPr>
        <w:ind w:left="5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11DB1"/>
    <w:rsid w:val="6BF11D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numPr>
        <w:ilvl w:val="0"/>
        <w:numId w:val="1"/>
      </w:numPr>
      <w:spacing w:before="120" w:after="120"/>
      <w:jc w:val="center"/>
      <w:outlineLvl w:val="0"/>
    </w:pPr>
    <w:rPr>
      <w:rFonts w:ascii="Times New Roman" w:hAnsi="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8640"/>
      </w:tabs>
      <w:ind w:left="1365"/>
    </w:pPr>
  </w:style>
  <w:style w:type="paragraph" w:styleId="4">
    <w:name w:val="Body Text First Indent 2"/>
    <w:basedOn w:val="3"/>
    <w:qFormat/>
    <w:uiPriority w:val="0"/>
    <w:pPr>
      <w:spacing w:after="120" w:afterLines="0"/>
      <w:ind w:left="420" w:leftChars="200"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2021-11-22T05:51:00Z</dcterms:created>
  <dc:creator>车雯雯</dc:creator>
  <cp:lastModifiedBy>车雯雯</cp:lastModifiedBy>
  <dcterms:modified xsi:type="dcterms:W3CDTF">2021-11-22T05:52:03Z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