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line="360" w:lineRule="auto"/>
        <w:ind w:leftChars="-50"/>
        <w:jc w:val="center"/>
        <w:textAlignment w:val="auto"/>
        <w:rPr>
          <w:color w:val="auto"/>
        </w:rPr>
      </w:pPr>
      <w:bookmarkStart w:id="0" w:name="_Toc475545836"/>
      <w:r>
        <w:rPr>
          <w:color w:val="auto"/>
        </w:rPr>
        <w:t>技术需求</w:t>
      </w:r>
      <w:bookmarkEnd w:id="0"/>
    </w:p>
    <w:p>
      <w:pPr>
        <w:numPr>
          <w:ilvl w:val="0"/>
          <w:numId w:val="2"/>
        </w:numPr>
        <w:spacing w:line="360" w:lineRule="auto"/>
        <w:rPr>
          <w:b/>
          <w:szCs w:val="21"/>
        </w:rPr>
      </w:pPr>
      <w:r>
        <w:rPr>
          <w:b/>
          <w:szCs w:val="21"/>
        </w:rPr>
        <w:t>项目名称</w:t>
      </w:r>
    </w:p>
    <w:p>
      <w:pPr>
        <w:spacing w:line="360" w:lineRule="auto"/>
        <w:ind w:left="420"/>
        <w:rPr>
          <w:szCs w:val="21"/>
        </w:rPr>
      </w:pPr>
      <w:r>
        <w:rPr>
          <w:szCs w:val="21"/>
        </w:rPr>
        <w:t>首都博物馆英文官网运维项目</w:t>
      </w:r>
    </w:p>
    <w:p>
      <w:pPr>
        <w:numPr>
          <w:ilvl w:val="0"/>
          <w:numId w:val="2"/>
        </w:numPr>
        <w:spacing w:line="360" w:lineRule="auto"/>
        <w:rPr>
          <w:b/>
          <w:szCs w:val="21"/>
        </w:rPr>
      </w:pPr>
      <w:r>
        <w:rPr>
          <w:b/>
          <w:szCs w:val="21"/>
        </w:rPr>
        <w:t>预算金额：</w:t>
      </w:r>
    </w:p>
    <w:p>
      <w:pPr>
        <w:spacing w:line="360" w:lineRule="auto"/>
        <w:ind w:left="420"/>
        <w:rPr>
          <w:szCs w:val="21"/>
        </w:rPr>
      </w:pPr>
      <w:r>
        <w:rPr>
          <w:szCs w:val="21"/>
        </w:rPr>
        <w:t xml:space="preserve"> 45万元</w:t>
      </w:r>
    </w:p>
    <w:p>
      <w:pPr>
        <w:numPr>
          <w:ilvl w:val="0"/>
          <w:numId w:val="2"/>
        </w:numPr>
        <w:spacing w:line="360" w:lineRule="auto"/>
        <w:rPr>
          <w:b/>
          <w:szCs w:val="21"/>
        </w:rPr>
      </w:pPr>
      <w:r>
        <w:rPr>
          <w:b/>
          <w:szCs w:val="21"/>
        </w:rPr>
        <w:t>项目概况：</w:t>
      </w:r>
    </w:p>
    <w:p>
      <w:pPr>
        <w:spacing w:line="360" w:lineRule="auto"/>
        <w:ind w:firstLine="420" w:firstLineChars="200"/>
        <w:rPr>
          <w:rFonts w:hint="eastAsia"/>
          <w:szCs w:val="21"/>
        </w:rPr>
      </w:pPr>
      <w:r>
        <w:rPr>
          <w:szCs w:val="21"/>
        </w:rPr>
        <w:t>首都博物馆英文官网（http://en.capitalmuseum.org.cn/）于2016年秋开始筹备建设，在充分借鉴了全球50家一流博物馆网站的经验后，于2018年2月正式上线。网站内容涵盖首博中外主题展览、中外合作交流、馆藏精品文物、公众教育案例、最新科研成果、博物馆详情介绍等，通过首博英文网站、中国网英文网站、中国网境外社交媒体账户等多渠道外宣平台，向海内外互联网用户广泛传播，旨在彰显“首都风范、古都风韵、时代风貌”的城市特色，讲好北京故事，展现北京人文精神，向世界推介最新、最美、最好的北京。</w:t>
      </w:r>
      <w:r>
        <w:rPr>
          <w:rFonts w:hint="eastAsia"/>
          <w:szCs w:val="21"/>
        </w:rPr>
        <w:t>在疫情时代中，英文网站也亟需进行内容和结构升级，将英文网站从一个线下观众获取参观信息的线上平台转变为一个多渠道多形式传播博物馆文化的数字化、智能化平台，便于国际受众远程对北京历史文化进行了解，打造永不落幕的博物馆，实现最大化的国际传播效果。</w:t>
      </w:r>
    </w:p>
    <w:p>
      <w:pPr>
        <w:pStyle w:val="2"/>
      </w:pPr>
    </w:p>
    <w:p>
      <w:pPr>
        <w:numPr>
          <w:ilvl w:val="0"/>
          <w:numId w:val="2"/>
        </w:numPr>
        <w:spacing w:line="360" w:lineRule="auto"/>
        <w:rPr>
          <w:b/>
          <w:szCs w:val="21"/>
        </w:rPr>
      </w:pPr>
      <w:r>
        <w:rPr>
          <w:b/>
          <w:szCs w:val="21"/>
        </w:rPr>
        <w:t>技术要求</w:t>
      </w:r>
    </w:p>
    <w:p>
      <w:pPr>
        <w:pStyle w:val="2"/>
        <w:spacing w:line="360" w:lineRule="auto"/>
      </w:pPr>
      <w:r>
        <w:t>1. 对现有网站进行</w:t>
      </w:r>
      <w:r>
        <w:rPr>
          <w:rFonts w:hint="eastAsia"/>
        </w:rPr>
        <w:t>运维</w:t>
      </w:r>
      <w:r>
        <w:t>，对已生成网页进行维护。提供网站前端全年维护，包括1个首页和不低于50个二级三级内容页面的维护。</w:t>
      </w:r>
    </w:p>
    <w:p>
      <w:pPr>
        <w:pStyle w:val="2"/>
        <w:spacing w:line="360" w:lineRule="auto"/>
      </w:pPr>
      <w:r>
        <w:t>2.提供网站技术支持与维护，负责</w:t>
      </w:r>
      <w:r>
        <w:rPr>
          <w:rFonts w:hint="eastAsia"/>
        </w:rPr>
        <w:t>提供</w:t>
      </w:r>
      <w:r>
        <w:t>网站日常运营所需的服务器、带宽、发布平台等网络资源，保证正常的访问速度。</w:t>
      </w:r>
    </w:p>
    <w:p>
      <w:pPr>
        <w:pStyle w:val="2"/>
        <w:spacing w:line="360" w:lineRule="auto"/>
      </w:pPr>
      <w:r>
        <w:t>3.展览内容更新：对现有内容进行及时、持续的填充和撤换。包括：新增临时展览5-10个，含中文资料整理、英文译审、专题制作、内容上传及发布。</w:t>
      </w:r>
    </w:p>
    <w:p>
      <w:pPr>
        <w:pStyle w:val="2"/>
        <w:spacing w:line="360" w:lineRule="auto"/>
      </w:pPr>
      <w:r>
        <w:t>4.社教活动内容更新：社教活动10-20个，含中文资料整理、英文译审、专题制作、内容上传及发布。</w:t>
      </w:r>
    </w:p>
    <w:p>
      <w:pPr>
        <w:pStyle w:val="2"/>
        <w:spacing w:line="360" w:lineRule="auto"/>
      </w:pPr>
      <w:r>
        <w:t>5.杂志内容更新：《博物院》杂志6期，含英文审校、专题制作、内容上传及发布。</w:t>
      </w:r>
    </w:p>
    <w:p>
      <w:pPr>
        <w:pStyle w:val="2"/>
        <w:spacing w:line="360" w:lineRule="auto"/>
      </w:pPr>
      <w:r>
        <w:t>6.事件内容更新：事件3-5个，含中文资料整理、英文译审、专题制作、内容上传及发布。</w:t>
      </w:r>
    </w:p>
    <w:p>
      <w:pPr>
        <w:pStyle w:val="2"/>
        <w:spacing w:line="360" w:lineRule="auto"/>
      </w:pPr>
      <w:r>
        <w:t>7.设计更新：友馆馆标5个、首页轮播图设计（每个展览的轮播图设计稿提供不少于4版）、展览banner设计、文物图片修图（脱底、剪裁、调色等）、社教活动题图设计（每个社教活动题图设计稿提供不少于3版）、事件题图设计（每个事件题图设计稿提供不少于3版）。</w:t>
      </w:r>
    </w:p>
    <w:p>
      <w:pPr>
        <w:pStyle w:val="2"/>
        <w:spacing w:line="360" w:lineRule="auto"/>
      </w:pPr>
      <w:r>
        <w:t>8.视频更新：上传3-5个。</w:t>
      </w:r>
    </w:p>
    <w:p>
      <w:pPr>
        <w:pStyle w:val="2"/>
        <w:spacing w:line="360" w:lineRule="auto"/>
      </w:pPr>
      <w:r>
        <w:t>9.公告更新：增加疫情防控公告。</w:t>
      </w:r>
    </w:p>
    <w:p>
      <w:pPr>
        <w:pStyle w:val="2"/>
        <w:spacing w:line="360" w:lineRule="auto"/>
      </w:pPr>
      <w:r>
        <w:t>10.优化research &amp; publications栏目，扩充图录。</w:t>
      </w:r>
    </w:p>
    <w:p>
      <w:pPr>
        <w:pStyle w:val="2"/>
        <w:spacing w:line="360" w:lineRule="auto"/>
      </w:pPr>
      <w:r>
        <w:t>11.提供移动端全年维护，包括1个首页和不低于50个二级三级内容页面的维护。按实际需求制作、更新移动端图片。</w:t>
      </w:r>
    </w:p>
    <w:p>
      <w:pPr>
        <w:pStyle w:val="2"/>
        <w:spacing w:line="360" w:lineRule="auto"/>
      </w:pPr>
      <w:r>
        <w:t>12.在中国网英文版首页增加广告位推广首博英文官网。</w:t>
      </w:r>
    </w:p>
    <w:p>
      <w:pPr>
        <w:pStyle w:val="2"/>
        <w:spacing w:line="360" w:lineRule="auto"/>
      </w:pPr>
      <w:r>
        <w:rPr>
          <w:rFonts w:hint="eastAsia"/>
        </w:rPr>
        <w:t>1</w:t>
      </w:r>
      <w:r>
        <w:t xml:space="preserve">3.★ </w:t>
      </w:r>
      <w:r>
        <w:rPr>
          <w:rFonts w:hint="eastAsia"/>
          <w:b/>
          <w:bCs/>
        </w:rPr>
        <w:t>团队中需配备至少三名外专、三名工程师、三名设计师以及一名项目经理和一名项目主管。需提供上述人员名单、社保证明和相关资格证书复印件并加盖公章。</w:t>
      </w:r>
    </w:p>
    <w:p>
      <w:pPr>
        <w:numPr>
          <w:ilvl w:val="0"/>
          <w:numId w:val="2"/>
        </w:numPr>
        <w:spacing w:line="360" w:lineRule="auto"/>
        <w:rPr>
          <w:b/>
          <w:szCs w:val="21"/>
        </w:rPr>
      </w:pPr>
      <w:r>
        <w:rPr>
          <w:b/>
          <w:szCs w:val="21"/>
        </w:rPr>
        <w:t>售后</w:t>
      </w:r>
    </w:p>
    <w:p>
      <w:pPr>
        <w:pStyle w:val="2"/>
        <w:spacing w:line="360" w:lineRule="auto"/>
      </w:pPr>
      <w:r>
        <w:t>售后服务要求：乙方完成2021年度网站制作和运维后（甲方验收网站并付清合同全款后），由乙方团队提供售后服务。自验收之日起，应至少提供免费售后服务12个月。在此期间，乙方应提供相关咨询服务，积极响应网站服务，在收到服务请求1个工作日内向甲方反馈服务受理情况。</w:t>
      </w:r>
    </w:p>
    <w:p>
      <w:pPr>
        <w:pStyle w:val="2"/>
        <w:spacing w:line="360" w:lineRule="auto"/>
      </w:pPr>
      <w:r>
        <w:t>售后服务包括：1）系统的运维、网站的存续及配套服务、数据的提取，不再有专题制作和功能开发；2）原有图文内容的修正及删减，不再新增内容。</w:t>
      </w:r>
    </w:p>
    <w:p>
      <w:pPr>
        <w:numPr>
          <w:ilvl w:val="0"/>
          <w:numId w:val="2"/>
        </w:numPr>
        <w:spacing w:line="360" w:lineRule="auto"/>
        <w:rPr>
          <w:b/>
          <w:szCs w:val="21"/>
        </w:rPr>
      </w:pPr>
      <w:r>
        <w:rPr>
          <w:b/>
          <w:szCs w:val="21"/>
        </w:rPr>
        <w:t>其他</w:t>
      </w:r>
    </w:p>
    <w:p>
      <w:pPr>
        <w:spacing w:line="360" w:lineRule="auto"/>
        <w:ind w:firstLine="422" w:firstLineChars="200"/>
        <w:rPr>
          <w:b/>
          <w:szCs w:val="21"/>
        </w:rPr>
      </w:pPr>
      <w:r>
        <w:rPr>
          <w:b/>
          <w:szCs w:val="21"/>
        </w:rPr>
        <w:t>1、项目期限</w:t>
      </w:r>
    </w:p>
    <w:p>
      <w:pPr>
        <w:spacing w:line="360" w:lineRule="auto"/>
        <w:ind w:firstLine="420" w:firstLineChars="200"/>
        <w:rPr>
          <w:bCs/>
          <w:szCs w:val="21"/>
        </w:rPr>
      </w:pPr>
      <w:r>
        <w:rPr>
          <w:bCs/>
          <w:szCs w:val="21"/>
        </w:rPr>
        <w:t>乙方在2021年12月10日前向甲方提交</w:t>
      </w:r>
      <w:r>
        <w:rPr>
          <w:rFonts w:hint="eastAsia"/>
          <w:bCs/>
          <w:szCs w:val="21"/>
        </w:rPr>
        <w:t>现有系统运维及内容翻译校对</w:t>
      </w:r>
      <w:r>
        <w:rPr>
          <w:bCs/>
          <w:szCs w:val="21"/>
        </w:rPr>
        <w:t>成果。</w:t>
      </w:r>
    </w:p>
    <w:p>
      <w:pPr>
        <w:spacing w:line="360" w:lineRule="auto"/>
        <w:ind w:left="420"/>
        <w:rPr>
          <w:b/>
          <w:szCs w:val="21"/>
        </w:rPr>
      </w:pPr>
      <w:r>
        <w:rPr>
          <w:b/>
          <w:szCs w:val="21"/>
        </w:rPr>
        <w:t>2、付款方式</w:t>
      </w:r>
    </w:p>
    <w:p>
      <w:pPr>
        <w:ind w:firstLine="420" w:firstLineChars="200"/>
      </w:pPr>
      <w:bookmarkStart w:id="1" w:name="_GoBack"/>
      <w:bookmarkEnd w:id="1"/>
      <w:r>
        <w:rPr>
          <w:bCs/>
          <w:szCs w:val="21"/>
        </w:rPr>
        <w:t>见合同样本。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74DD"/>
    <w:multiLevelType w:val="multilevel"/>
    <w:tmpl w:val="0FE574DD"/>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B640A8"/>
    <w:multiLevelType w:val="multilevel"/>
    <w:tmpl w:val="58B640A8"/>
    <w:lvl w:ilvl="0" w:tentative="0">
      <w:start w:val="1"/>
      <w:numFmt w:val="chineseCountingThousand"/>
      <w:pStyle w:val="4"/>
      <w:lvlText w:val="第%1部分"/>
      <w:lvlJc w:val="left"/>
      <w:pPr>
        <w:ind w:left="5940"/>
      </w:pPr>
      <w:rPr>
        <w:rFonts w:hint="eastAsia" w:cs="Times New Roman"/>
        <w:i w:val="0"/>
        <w:iCs w:val="0"/>
        <w:caps w:val="0"/>
        <w:smallCaps w:val="0"/>
        <w:strike w:val="0"/>
        <w:dstrike w:val="0"/>
        <w:vanish w:val="0"/>
        <w:spacing w:val="0"/>
        <w:position w:val="0"/>
        <w:u w:val="none"/>
        <w:vertAlign w:val="baseline"/>
      </w:rPr>
    </w:lvl>
    <w:lvl w:ilvl="1" w:tentative="0">
      <w:start w:val="1"/>
      <w:numFmt w:val="decimal"/>
      <w:isLgl/>
      <w:lvlText w:val="%2"/>
      <w:lvlJc w:val="left"/>
      <w:pPr>
        <w:ind w:left="5528"/>
      </w:pPr>
      <w:rPr>
        <w:rFonts w:hint="eastAsia" w:cs="Times New Roman"/>
      </w:rPr>
    </w:lvl>
    <w:lvl w:ilvl="2" w:tentative="0">
      <w:start w:val="1"/>
      <w:numFmt w:val="decimal"/>
      <w:lvlText w:val="%2.%3"/>
      <w:lvlJc w:val="left"/>
      <w:pPr>
        <w:ind w:left="5528"/>
      </w:pPr>
      <w:rPr>
        <w:rFonts w:hint="eastAsia" w:cs="Times New Roman"/>
      </w:rPr>
    </w:lvl>
    <w:lvl w:ilvl="3" w:tentative="0">
      <w:start w:val="1"/>
      <w:numFmt w:val="decimal"/>
      <w:lvlText w:val="%2.%3.%4"/>
      <w:lvlJc w:val="left"/>
      <w:pPr>
        <w:ind w:left="5528"/>
      </w:pPr>
      <w:rPr>
        <w:rFonts w:hint="eastAsia" w:cs="Times New Roman"/>
      </w:rPr>
    </w:lvl>
    <w:lvl w:ilvl="4" w:tentative="0">
      <w:start w:val="1"/>
      <w:numFmt w:val="decimal"/>
      <w:lvlText w:val="%2.%3.%4.%5"/>
      <w:lvlJc w:val="left"/>
      <w:pPr>
        <w:ind w:left="5528"/>
      </w:pPr>
      <w:rPr>
        <w:rFonts w:hint="eastAsia" w:cs="Times New Roman"/>
      </w:rPr>
    </w:lvl>
    <w:lvl w:ilvl="5" w:tentative="0">
      <w:start w:val="1"/>
      <w:numFmt w:val="decimal"/>
      <w:lvlText w:val="%2.%3.%4.%5.%6"/>
      <w:lvlJc w:val="left"/>
      <w:pPr>
        <w:ind w:left="5528"/>
      </w:pPr>
      <w:rPr>
        <w:rFonts w:hint="eastAsia" w:cs="Times New Roman"/>
      </w:rPr>
    </w:lvl>
    <w:lvl w:ilvl="6" w:tentative="0">
      <w:start w:val="1"/>
      <w:numFmt w:val="decimal"/>
      <w:lvlText w:val="%2.%3.%4.%5.%6.%7"/>
      <w:lvlJc w:val="left"/>
      <w:pPr>
        <w:ind w:left="5528"/>
      </w:pPr>
      <w:rPr>
        <w:rFonts w:hint="eastAsia" w:cs="Times New Roman"/>
      </w:rPr>
    </w:lvl>
    <w:lvl w:ilvl="7" w:tentative="0">
      <w:start w:val="1"/>
      <w:numFmt w:val="decimal"/>
      <w:lvlText w:val="%2.%3.%4.%5.%6.%7.%8"/>
      <w:lvlJc w:val="left"/>
      <w:pPr>
        <w:ind w:left="5528"/>
      </w:pPr>
      <w:rPr>
        <w:rFonts w:hint="eastAsia" w:cs="Times New Roman"/>
      </w:rPr>
    </w:lvl>
    <w:lvl w:ilvl="8" w:tentative="0">
      <w:start w:val="1"/>
      <w:numFmt w:val="decimal"/>
      <w:lvlText w:val="%2.%3.%4.%5.%6.%7.%8.%9"/>
      <w:lvlJc w:val="left"/>
      <w:pPr>
        <w:ind w:left="5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5F18"/>
    <w:rsid w:val="020E5F18"/>
    <w:rsid w:val="1F9A5817"/>
    <w:rsid w:val="47CE67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keepLines/>
      <w:numPr>
        <w:ilvl w:val="0"/>
        <w:numId w:val="1"/>
      </w:numPr>
      <w:spacing w:before="120" w:after="120"/>
      <w:jc w:val="center"/>
      <w:outlineLvl w:val="0"/>
    </w:pPr>
    <w:rPr>
      <w:rFonts w:ascii="Times New Roman" w:hAnsi="Times New Roman"/>
      <w:b/>
      <w:bCs/>
      <w:kern w:val="44"/>
      <w:sz w:val="44"/>
      <w:szCs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8640"/>
      </w:tabs>
      <w:spacing w:after="120" w:afterLines="0"/>
      <w:ind w:left="420" w:leftChars="200" w:firstLine="420" w:firstLineChars="200"/>
    </w:pPr>
    <w:rPr>
      <w:szCs w:val="24"/>
    </w:rPr>
  </w:style>
  <w:style w:type="paragraph" w:styleId="3">
    <w:name w:val="Body Text Indent"/>
    <w:basedOn w:val="1"/>
    <w:qFormat/>
    <w:uiPriority w:val="0"/>
    <w:pPr>
      <w:tabs>
        <w:tab w:val="left" w:pos="8640"/>
      </w:tabs>
      <w:ind w:left="1365"/>
    </w:pPr>
  </w:style>
  <w:style w:type="paragraph" w:styleId="5">
    <w:name w:val="Body Text"/>
    <w:basedOn w:val="1"/>
    <w:uiPriority w:val="99"/>
    <w:pPr>
      <w:spacing w:after="120"/>
    </w:pPr>
    <w:rPr>
      <w:rFonts w:ascii="Times New Roman" w:hAnsi="Times New Roman"/>
      <w:kern w:val="0"/>
      <w:sz w:val="20"/>
      <w:szCs w:val="20"/>
    </w:rPr>
  </w:style>
  <w:style w:type="paragraph" w:styleId="8">
    <w:name w:val="List Paragraph"/>
    <w:basedOn w:val="1"/>
    <w:qFormat/>
    <w:uiPriority w:val="1"/>
    <w:pPr>
      <w:ind w:left="205" w:right="169" w:firstLine="655"/>
    </w:pPr>
    <w:rPr>
      <w:u w:val="single" w:color="000000"/>
    </w:rPr>
  </w:style>
  <w:style w:type="paragraph" w:customStyle="1" w:styleId="9">
    <w:name w:val="列出段落11"/>
    <w:basedOn w:val="1"/>
    <w:semiHidden/>
    <w:qFormat/>
    <w:uiPriority w:val="0"/>
    <w:pPr>
      <w:widowControl/>
      <w:spacing w:before="40" w:beforeLines="0" w:after="160" w:afterLines="0"/>
      <w:ind w:firstLine="420" w:firstLineChars="200"/>
      <w:jc w:val="left"/>
    </w:pPr>
    <w:rPr>
      <w:rFonts w:ascii="Cambria" w:hAnsi="Cambria" w:eastAsia="微软雅黑" w:cs="Cambria"/>
      <w:color w:val="565656"/>
      <w:kern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2021-07-21T07:03:00Z</dcterms:created>
  <dc:creator>车雯雯</dc:creator>
  <cp:lastModifiedBy>车雯雯</cp:lastModifiedBy>
  <dcterms:modified xsi:type="dcterms:W3CDTF">2021-09-08T01:27:11Z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