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napToGrid w:val="0"/>
        <w:spacing w:line="360" w:lineRule="auto"/>
        <w:jc w:val="left"/>
        <w:rPr>
          <w:rFonts w:ascii="仿宋_GB2312" w:hAnsi="仿宋_GB2312" w:eastAsia="仿宋_GB2312" w:cs="仿宋_GB2312"/>
          <w:szCs w:val="24"/>
        </w:rPr>
      </w:pPr>
      <w:r>
        <w:rPr>
          <w:rFonts w:hint="eastAsia" w:ascii="仿宋_GB2312" w:hAnsi="仿宋_GB2312" w:eastAsia="仿宋_GB2312" w:cs="仿宋_GB2312"/>
          <w:b/>
          <w:bCs/>
          <w:szCs w:val="24"/>
        </w:rPr>
        <w:t>一、项目概况</w:t>
      </w:r>
    </w:p>
    <w:p>
      <w:pPr>
        <w:pStyle w:val="3"/>
        <w:snapToGrid w:val="0"/>
        <w:spacing w:line="360" w:lineRule="auto"/>
        <w:ind w:firstLine="480" w:firstLineChars="200"/>
        <w:jc w:val="left"/>
        <w:rPr>
          <w:rFonts w:ascii="仿宋_GB2312" w:hAnsi="仿宋_GB2312" w:eastAsia="仿宋_GB2312" w:cs="仿宋_GB2312"/>
          <w:szCs w:val="24"/>
        </w:rPr>
      </w:pPr>
      <w:r>
        <w:rPr>
          <w:rFonts w:hint="eastAsia" w:ascii="仿宋_GB2312" w:hAnsi="仿宋_GB2312" w:eastAsia="仿宋_GB2312" w:cs="仿宋_GB2312"/>
          <w:szCs w:val="24"/>
        </w:rPr>
        <w:t>网络安全等级保护制度是国家网络安全保障工作的基本制度、基本国策和基本方法，是促进信息化健康发展，维护国家安全、社会秩序和公共利益的根本保障。应公安部、国家保密局、国家密码管理局、国务院信息化工作办公室制定的《信息安全等级保护管理办法》（公通字 [2007]43号）、《关于开展信息安全等级保护安全建设整改工作的指导意见》（公信安[2009]1429号）、《关于推动信息安全等级保护测评体系建设和开展等级测评工作的通知》（公信安[2010]303号）要求，伴随着首博数字化转型的内生需求，网络安全越发成为在日产工作中重要的组成部分。根据《中华人民共和国网络安全法》第二十一条：国家实行网络安全等级保护制度。网络运营者应当按照网络安全等级保护制度的要求，履行下列安全保护义务，保障网络免受干扰、破坏或者未经授权的访问，防止网络数据泄露或者被窃取、篡改；首都博物馆对现有部分信息系统按照重要程度进行定级备案，分等级实行安全保护，按等级实行管理、分等级响应处置。该项工作包括：专家定级、向公安机关备案、开展等级测评、安全合规整改，接收监督检查。拟请具备等级测评资质的公司协助开展此项工作。争取获得与系统情况相符、通过公安监督检查的定级备案成绩。</w:t>
      </w:r>
    </w:p>
    <w:p>
      <w:pPr>
        <w:pStyle w:val="3"/>
        <w:snapToGrid w:val="0"/>
        <w:spacing w:line="360" w:lineRule="auto"/>
        <w:jc w:val="left"/>
        <w:rPr>
          <w:rFonts w:ascii="仿宋_GB2312" w:hAnsi="仿宋_GB2312" w:eastAsia="仿宋_GB2312" w:cs="仿宋_GB2312"/>
          <w:szCs w:val="24"/>
        </w:rPr>
      </w:pPr>
    </w:p>
    <w:p>
      <w:pPr>
        <w:pStyle w:val="3"/>
        <w:snapToGrid w:val="0"/>
        <w:spacing w:line="360" w:lineRule="auto"/>
        <w:jc w:val="left"/>
        <w:rPr>
          <w:rFonts w:ascii="仿宋_GB2312" w:hAnsi="仿宋_GB2312" w:eastAsia="仿宋_GB2312" w:cs="仿宋_GB2312"/>
          <w:szCs w:val="24"/>
        </w:rPr>
      </w:pPr>
      <w:r>
        <w:rPr>
          <w:rFonts w:hint="eastAsia" w:ascii="仿宋_GB2312" w:hAnsi="仿宋_GB2312" w:eastAsia="仿宋_GB2312" w:cs="仿宋_GB2312"/>
          <w:b/>
          <w:bCs/>
          <w:szCs w:val="24"/>
        </w:rPr>
        <w:t>二、服务范围</w:t>
      </w:r>
    </w:p>
    <w:p>
      <w:pPr>
        <w:pStyle w:val="3"/>
        <w:snapToGrid w:val="0"/>
        <w:spacing w:line="360" w:lineRule="auto"/>
        <w:ind w:firstLine="480" w:firstLineChars="200"/>
        <w:jc w:val="left"/>
        <w:rPr>
          <w:rFonts w:ascii="仿宋_GB2312" w:hAnsi="仿宋_GB2312" w:eastAsia="仿宋_GB2312" w:cs="仿宋_GB2312"/>
          <w:szCs w:val="24"/>
        </w:rPr>
      </w:pPr>
      <w:r>
        <w:rPr>
          <w:rFonts w:hint="eastAsia" w:ascii="仿宋_GB2312" w:hAnsi="仿宋_GB2312" w:eastAsia="仿宋_GB2312" w:cs="仿宋_GB2312"/>
          <w:szCs w:val="24"/>
        </w:rPr>
        <w:t>首博官方网站系统（中文）、首博办公自动化系统、首博数字出版APP以及首博网络基础环境信息系统提供网络安全等级保护测评服务，其中，信息系统与环境数量3个，APP应用数量 1个。信息系统初步拟定为二级，全部部署在首都博物馆二层机房。</w:t>
      </w:r>
    </w:p>
    <w:p>
      <w:pPr>
        <w:pStyle w:val="3"/>
        <w:snapToGrid w:val="0"/>
        <w:spacing w:line="360" w:lineRule="auto"/>
        <w:ind w:firstLine="480" w:firstLineChars="200"/>
        <w:jc w:val="left"/>
        <w:rPr>
          <w:rFonts w:ascii="仿宋_GB2312" w:hAnsi="仿宋_GB2312" w:eastAsia="仿宋_GB2312" w:cs="仿宋_GB2312"/>
          <w:szCs w:val="24"/>
        </w:rPr>
      </w:pPr>
      <w:r>
        <w:rPr>
          <w:rFonts w:hint="eastAsia" w:ascii="仿宋_GB2312" w:hAnsi="仿宋_GB2312" w:eastAsia="仿宋_GB2312" w:cs="仿宋_GB2312"/>
          <w:szCs w:val="24"/>
        </w:rPr>
        <w:t>同时，还需对首博现有其他重要系统进行梳理，对整体网络进行分析，提交整体安全评估报告。</w:t>
      </w:r>
      <w:bookmarkStart w:id="0" w:name="_Hlk70535677"/>
      <w:r>
        <w:rPr>
          <w:rFonts w:hint="eastAsia" w:ascii="仿宋_GB2312" w:hAnsi="仿宋_GB2312" w:eastAsia="仿宋_GB2312" w:cs="仿宋_GB2312"/>
          <w:szCs w:val="24"/>
        </w:rPr>
        <w:t>编制网络安全管理制度及落地方案、信息系统管理制度及落地方案</w:t>
      </w:r>
      <w:bookmarkEnd w:id="0"/>
      <w:r>
        <w:rPr>
          <w:rFonts w:hint="eastAsia" w:ascii="仿宋_GB2312" w:hAnsi="仿宋_GB2312" w:eastAsia="仿宋_GB2312" w:cs="仿宋_GB2312"/>
          <w:szCs w:val="24"/>
        </w:rPr>
        <w:t>。对在建系统提供安全咨询服务。能对涉及信息化的相关部门进行多轮次的网络安全宣教培训，以达到首都博物馆网络安全的整体战略规划目标。</w:t>
      </w:r>
    </w:p>
    <w:p>
      <w:pPr>
        <w:pStyle w:val="3"/>
        <w:snapToGrid w:val="0"/>
        <w:spacing w:line="360" w:lineRule="auto"/>
        <w:jc w:val="left"/>
        <w:rPr>
          <w:rFonts w:ascii="仿宋_GB2312" w:hAnsi="仿宋_GB2312" w:eastAsia="仿宋_GB2312" w:cs="仿宋_GB2312"/>
          <w:szCs w:val="24"/>
        </w:rPr>
      </w:pPr>
    </w:p>
    <w:p>
      <w:pPr>
        <w:pStyle w:val="3"/>
        <w:snapToGrid w:val="0"/>
        <w:spacing w:line="360" w:lineRule="auto"/>
        <w:jc w:val="left"/>
        <w:rPr>
          <w:rFonts w:ascii="仿宋_GB2312" w:hAnsi="仿宋_GB2312" w:eastAsia="仿宋_GB2312" w:cs="仿宋_GB2312"/>
          <w:szCs w:val="24"/>
        </w:rPr>
      </w:pPr>
      <w:r>
        <w:rPr>
          <w:rFonts w:hint="eastAsia" w:ascii="仿宋_GB2312" w:hAnsi="仿宋_GB2312" w:eastAsia="仿宋_GB2312" w:cs="仿宋_GB2312"/>
          <w:b/>
          <w:bCs/>
          <w:szCs w:val="24"/>
        </w:rPr>
        <w:t>三、项目进度安排及服务期</w:t>
      </w:r>
    </w:p>
    <w:p>
      <w:pPr>
        <w:pStyle w:val="3"/>
        <w:snapToGrid w:val="0"/>
        <w:spacing w:line="360" w:lineRule="auto"/>
        <w:ind w:firstLine="480" w:firstLineChars="200"/>
        <w:jc w:val="left"/>
        <w:rPr>
          <w:rFonts w:ascii="仿宋_GB2312" w:hAnsi="仿宋_GB2312" w:eastAsia="仿宋_GB2312" w:cs="仿宋_GB2312"/>
          <w:szCs w:val="24"/>
        </w:rPr>
      </w:pPr>
      <w:r>
        <w:rPr>
          <w:rFonts w:hint="eastAsia" w:ascii="仿宋_GB2312" w:hAnsi="仿宋_GB2312" w:eastAsia="仿宋_GB2312" w:cs="仿宋_GB2312"/>
          <w:szCs w:val="24"/>
        </w:rPr>
        <w:t>（一）进度安排：</w:t>
      </w:r>
    </w:p>
    <w:p>
      <w:pPr>
        <w:pStyle w:val="3"/>
        <w:snapToGrid w:val="0"/>
        <w:spacing w:line="360" w:lineRule="auto"/>
        <w:ind w:firstLine="480" w:firstLineChars="200"/>
        <w:jc w:val="left"/>
        <w:rPr>
          <w:rFonts w:ascii="仿宋_GB2312" w:hAnsi="仿宋_GB2312" w:eastAsia="仿宋_GB2312" w:cs="仿宋_GB2312"/>
          <w:szCs w:val="24"/>
        </w:rPr>
      </w:pPr>
      <w:r>
        <w:rPr>
          <w:rFonts w:hint="eastAsia" w:ascii="仿宋_GB2312" w:hAnsi="仿宋_GB2312" w:eastAsia="仿宋_GB2312" w:cs="仿宋_GB2312"/>
          <w:szCs w:val="24"/>
        </w:rPr>
        <w:t>1.供应商依据等级保护管理办法和定级指南，协助采购人通过确定定级对象、系统初步定级、填写定级备案材料、提交定级备案材料完成首博官方网站信息系统、首博办公自动化系统、首博数字出版APP以及首博网络基础环境信息系统的定级工作，取得定级备案证明。</w:t>
      </w:r>
    </w:p>
    <w:p>
      <w:pPr>
        <w:pStyle w:val="3"/>
        <w:snapToGrid w:val="0"/>
        <w:spacing w:line="360" w:lineRule="auto"/>
        <w:ind w:firstLine="480" w:firstLineChars="200"/>
        <w:jc w:val="left"/>
        <w:rPr>
          <w:rFonts w:ascii="仿宋_GB2312" w:hAnsi="仿宋_GB2312" w:eastAsia="仿宋_GB2312" w:cs="仿宋_GB2312"/>
          <w:szCs w:val="24"/>
        </w:rPr>
      </w:pPr>
      <w:r>
        <w:rPr>
          <w:rFonts w:hint="eastAsia" w:ascii="仿宋_GB2312" w:hAnsi="仿宋_GB2312" w:eastAsia="仿宋_GB2312" w:cs="仿宋_GB2312"/>
          <w:szCs w:val="24"/>
        </w:rPr>
        <w:t>2.采购人向供应商提供相关资料并配备专人配合供应商完成首博官方网站信息系统、首博办公自动化系统、首博数字出版APP以及首博网络基础环境信息系统的基本情况调研，完成测评方案的编制。</w:t>
      </w:r>
    </w:p>
    <w:p>
      <w:pPr>
        <w:pStyle w:val="3"/>
        <w:snapToGrid w:val="0"/>
        <w:spacing w:line="360" w:lineRule="auto"/>
        <w:ind w:firstLine="480" w:firstLineChars="200"/>
        <w:jc w:val="left"/>
        <w:rPr>
          <w:rFonts w:ascii="仿宋_GB2312" w:hAnsi="仿宋_GB2312" w:eastAsia="仿宋_GB2312" w:cs="仿宋_GB2312"/>
          <w:szCs w:val="24"/>
        </w:rPr>
      </w:pPr>
      <w:r>
        <w:rPr>
          <w:rFonts w:hint="eastAsia" w:ascii="仿宋_GB2312" w:hAnsi="仿宋_GB2312" w:eastAsia="仿宋_GB2312" w:cs="仿宋_GB2312"/>
          <w:szCs w:val="24"/>
        </w:rPr>
        <w:t>3.供应商在完成现场测评后按照制订的工作计划完成报告初测初稿（又称《差距测评报告》）。测评人员现场服务不低于20人</w:t>
      </w:r>
      <w:r>
        <w:rPr>
          <w:rFonts w:hint="eastAsia" w:ascii="仿宋_GB2312" w:hAnsi="仿宋_GB2312" w:eastAsia="仿宋_GB2312" w:cs="仿宋_GB2312"/>
          <w:color w:val="FF0000"/>
          <w:szCs w:val="24"/>
        </w:rPr>
        <w:t>/</w:t>
      </w:r>
      <w:r>
        <w:rPr>
          <w:rFonts w:hint="eastAsia" w:ascii="仿宋_GB2312" w:hAnsi="仿宋_GB2312" w:eastAsia="仿宋_GB2312" w:cs="仿宋_GB2312"/>
          <w:szCs w:val="24"/>
        </w:rPr>
        <w:t>天。</w:t>
      </w:r>
    </w:p>
    <w:p>
      <w:pPr>
        <w:pStyle w:val="3"/>
        <w:snapToGrid w:val="0"/>
        <w:spacing w:line="360" w:lineRule="auto"/>
        <w:ind w:firstLine="480" w:firstLineChars="200"/>
        <w:jc w:val="left"/>
        <w:rPr>
          <w:rFonts w:ascii="仿宋_GB2312" w:hAnsi="仿宋_GB2312" w:eastAsia="仿宋_GB2312" w:cs="仿宋_GB2312"/>
          <w:szCs w:val="24"/>
        </w:rPr>
      </w:pPr>
      <w:r>
        <w:rPr>
          <w:rFonts w:hint="eastAsia" w:ascii="仿宋_GB2312" w:hAnsi="仿宋_GB2312" w:eastAsia="仿宋_GB2312" w:cs="仿宋_GB2312"/>
          <w:szCs w:val="24"/>
        </w:rPr>
        <w:t>4.自采购人签署漏洞扫描授权供应商测试人员在指定时间范围内对采购人指定被测系统实施漏洞扫描服务，供应商在完成对被测系统的漏洞扫描服务后10个工作日内出具《安全漏洞扫描报告》。测评人员现场服务不低于5人</w:t>
      </w:r>
      <w:r>
        <w:rPr>
          <w:rFonts w:hint="eastAsia" w:ascii="仿宋_GB2312" w:hAnsi="仿宋_GB2312" w:eastAsia="仿宋_GB2312" w:cs="仿宋_GB2312"/>
          <w:color w:val="FF0000"/>
          <w:szCs w:val="24"/>
        </w:rPr>
        <w:t>/</w:t>
      </w:r>
      <w:r>
        <w:rPr>
          <w:rFonts w:hint="eastAsia" w:ascii="仿宋_GB2312" w:hAnsi="仿宋_GB2312" w:eastAsia="仿宋_GB2312" w:cs="仿宋_GB2312"/>
          <w:szCs w:val="24"/>
        </w:rPr>
        <w:t>天。</w:t>
      </w:r>
    </w:p>
    <w:p>
      <w:pPr>
        <w:pStyle w:val="3"/>
        <w:snapToGrid w:val="0"/>
        <w:spacing w:line="360" w:lineRule="auto"/>
        <w:ind w:firstLine="480" w:firstLineChars="200"/>
        <w:jc w:val="left"/>
        <w:rPr>
          <w:rFonts w:ascii="仿宋_GB2312" w:hAnsi="仿宋_GB2312" w:eastAsia="仿宋_GB2312" w:cs="仿宋_GB2312"/>
          <w:szCs w:val="24"/>
        </w:rPr>
      </w:pPr>
      <w:r>
        <w:rPr>
          <w:rFonts w:hint="eastAsia" w:ascii="仿宋_GB2312" w:hAnsi="仿宋_GB2312" w:eastAsia="仿宋_GB2312" w:cs="仿宋_GB2312"/>
          <w:szCs w:val="24"/>
        </w:rPr>
        <w:t>5.采购人提交APP应用程序安装包给供应商后的20 个工作日内，供应商提交APP应用检测初测报告。</w:t>
      </w:r>
    </w:p>
    <w:p>
      <w:pPr>
        <w:pStyle w:val="3"/>
        <w:snapToGrid w:val="0"/>
        <w:spacing w:line="360" w:lineRule="auto"/>
        <w:ind w:firstLine="480" w:firstLineChars="200"/>
        <w:jc w:val="left"/>
        <w:rPr>
          <w:rFonts w:ascii="仿宋_GB2312" w:hAnsi="仿宋_GB2312" w:eastAsia="仿宋_GB2312" w:cs="仿宋_GB2312"/>
          <w:szCs w:val="24"/>
        </w:rPr>
      </w:pPr>
      <w:r>
        <w:rPr>
          <w:rFonts w:hint="eastAsia" w:ascii="仿宋_GB2312" w:hAnsi="仿宋_GB2312" w:eastAsia="仿宋_GB2312" w:cs="仿宋_GB2312"/>
          <w:szCs w:val="24"/>
        </w:rPr>
        <w:t>6.采购人有权于收到初测初稿、《安全漏洞扫描报告》后提出书面意见，供应商应本着合法、符合《网络安全等级保护测评机构管理办法》和《信息安全技术 信息系统安全等级保护测评过程指南》(GB/T 28449-2018)等文件要求、结合目标系统安全防护的真实水平出具初测终稿（即《差距测评报告》和《安全整改建议》）。《差距测评报告》和《安全整改建议》是供应商向采购人提供网络安全等级保护测评服务实施中的过程文件。</w:t>
      </w:r>
    </w:p>
    <w:p>
      <w:pPr>
        <w:pStyle w:val="3"/>
        <w:snapToGrid w:val="0"/>
        <w:spacing w:line="360" w:lineRule="auto"/>
        <w:ind w:firstLine="480" w:firstLineChars="200"/>
        <w:jc w:val="left"/>
        <w:rPr>
          <w:rFonts w:ascii="仿宋_GB2312" w:hAnsi="仿宋_GB2312" w:eastAsia="仿宋_GB2312" w:cs="仿宋_GB2312"/>
          <w:szCs w:val="24"/>
        </w:rPr>
      </w:pPr>
      <w:r>
        <w:rPr>
          <w:rFonts w:hint="eastAsia" w:ascii="仿宋_GB2312" w:hAnsi="仿宋_GB2312" w:eastAsia="仿宋_GB2312" w:cs="仿宋_GB2312"/>
          <w:szCs w:val="24"/>
        </w:rPr>
        <w:t>7.采购人应按供应商出具的《差距测评报告》和《安全整改建议》进行切实有效的安全整改工作，供应商对采购人开展的安全整改提供必要的指导。供应商提交整改建议给采购人后 10个工作日内采购人要完成整改工作。</w:t>
      </w:r>
    </w:p>
    <w:p>
      <w:pPr>
        <w:pStyle w:val="3"/>
        <w:snapToGrid w:val="0"/>
        <w:spacing w:line="360" w:lineRule="auto"/>
        <w:ind w:firstLine="480" w:firstLineChars="200"/>
        <w:jc w:val="left"/>
        <w:rPr>
          <w:rFonts w:ascii="仿宋_GB2312" w:hAnsi="仿宋_GB2312" w:eastAsia="仿宋_GB2312" w:cs="仿宋_GB2312"/>
          <w:szCs w:val="24"/>
        </w:rPr>
      </w:pPr>
      <w:r>
        <w:rPr>
          <w:rFonts w:hint="eastAsia" w:ascii="仿宋_GB2312" w:hAnsi="仿宋_GB2312" w:eastAsia="仿宋_GB2312" w:cs="仿宋_GB2312"/>
          <w:szCs w:val="24"/>
        </w:rPr>
        <w:t>8.供应商提交APP应用检测初测报告后，采购人整改时间为30个工作日，供应商进行一次复测并在 10 个工作日内出具应用检测复测报告。</w:t>
      </w:r>
    </w:p>
    <w:p>
      <w:pPr>
        <w:pStyle w:val="3"/>
        <w:snapToGrid w:val="0"/>
        <w:spacing w:line="360" w:lineRule="auto"/>
        <w:ind w:firstLine="480" w:firstLineChars="200"/>
        <w:jc w:val="left"/>
        <w:rPr>
          <w:rFonts w:ascii="仿宋_GB2312" w:hAnsi="仿宋_GB2312" w:eastAsia="仿宋_GB2312" w:cs="仿宋_GB2312"/>
          <w:szCs w:val="24"/>
        </w:rPr>
      </w:pPr>
      <w:r>
        <w:rPr>
          <w:rFonts w:hint="eastAsia" w:ascii="仿宋_GB2312" w:hAnsi="仿宋_GB2312" w:eastAsia="仿宋_GB2312" w:cs="仿宋_GB2312"/>
          <w:szCs w:val="24"/>
        </w:rPr>
        <w:t>9.采购人开展有效整改工作后，由供应商开展验证性测评工作。供应商完成验证性测评工作后编制《信息系统等级保护测评报告》。验证测评工作周期拟定为15个工作日。测评人员现场服务不低于20人</w:t>
      </w:r>
      <w:r>
        <w:rPr>
          <w:rFonts w:hint="eastAsia" w:ascii="仿宋_GB2312" w:hAnsi="仿宋_GB2312" w:eastAsia="仿宋_GB2312" w:cs="仿宋_GB2312"/>
          <w:color w:val="FF0000"/>
          <w:szCs w:val="24"/>
        </w:rPr>
        <w:t>/</w:t>
      </w:r>
      <w:r>
        <w:rPr>
          <w:rFonts w:hint="eastAsia" w:ascii="仿宋_GB2312" w:hAnsi="仿宋_GB2312" w:eastAsia="仿宋_GB2312" w:cs="仿宋_GB2312"/>
          <w:szCs w:val="24"/>
        </w:rPr>
        <w:t>天。</w:t>
      </w:r>
    </w:p>
    <w:p>
      <w:pPr>
        <w:pStyle w:val="3"/>
        <w:snapToGrid w:val="0"/>
        <w:spacing w:line="360" w:lineRule="auto"/>
        <w:ind w:firstLine="480" w:firstLineChars="200"/>
        <w:jc w:val="left"/>
        <w:rPr>
          <w:rFonts w:ascii="仿宋_GB2312" w:hAnsi="仿宋_GB2312" w:eastAsia="仿宋_GB2312" w:cs="仿宋_GB2312"/>
          <w:szCs w:val="24"/>
        </w:rPr>
      </w:pPr>
      <w:r>
        <w:rPr>
          <w:rFonts w:hint="eastAsia" w:ascii="仿宋_GB2312" w:hAnsi="仿宋_GB2312" w:eastAsia="仿宋_GB2312" w:cs="仿宋_GB2312"/>
          <w:szCs w:val="24"/>
        </w:rPr>
        <w:t>（二）服务期：自合同生效之日起至2021年11月30日。</w:t>
      </w:r>
    </w:p>
    <w:p>
      <w:pPr>
        <w:pStyle w:val="3"/>
        <w:snapToGrid w:val="0"/>
        <w:spacing w:line="360" w:lineRule="auto"/>
        <w:jc w:val="left"/>
        <w:rPr>
          <w:rFonts w:ascii="仿宋_GB2312" w:hAnsi="仿宋_GB2312" w:eastAsia="仿宋_GB2312" w:cs="仿宋_GB2312"/>
          <w:szCs w:val="24"/>
        </w:rPr>
      </w:pPr>
    </w:p>
    <w:p>
      <w:pPr>
        <w:pStyle w:val="3"/>
        <w:snapToGrid w:val="0"/>
        <w:spacing w:line="360" w:lineRule="auto"/>
        <w:jc w:val="left"/>
        <w:rPr>
          <w:rFonts w:ascii="仿宋_GB2312" w:hAnsi="仿宋_GB2312" w:eastAsia="仿宋_GB2312" w:cs="仿宋_GB2312"/>
          <w:szCs w:val="24"/>
        </w:rPr>
      </w:pPr>
      <w:r>
        <w:rPr>
          <w:rFonts w:hint="eastAsia" w:ascii="仿宋_GB2312" w:hAnsi="仿宋_GB2312" w:eastAsia="仿宋_GB2312" w:cs="仿宋_GB2312"/>
          <w:b/>
          <w:bCs/>
          <w:szCs w:val="24"/>
        </w:rPr>
        <w:t>四、项目实施依据</w:t>
      </w:r>
    </w:p>
    <w:p>
      <w:pPr>
        <w:pStyle w:val="3"/>
        <w:snapToGrid w:val="0"/>
        <w:spacing w:line="360" w:lineRule="auto"/>
        <w:ind w:firstLine="480" w:firstLineChars="200"/>
        <w:jc w:val="left"/>
        <w:rPr>
          <w:rFonts w:ascii="仿宋_GB2312" w:hAnsi="仿宋_GB2312" w:eastAsia="仿宋_GB2312" w:cs="仿宋_GB2312"/>
          <w:szCs w:val="24"/>
        </w:rPr>
      </w:pPr>
      <w:r>
        <w:rPr>
          <w:rFonts w:hint="eastAsia" w:ascii="仿宋_GB2312" w:hAnsi="仿宋_GB2312" w:eastAsia="仿宋_GB2312" w:cs="仿宋_GB2312"/>
          <w:szCs w:val="24"/>
        </w:rPr>
        <w:t>《信息安全技术 网络安全等级保护基本要求》(GB/T 22239-2019)；</w:t>
      </w:r>
    </w:p>
    <w:p>
      <w:pPr>
        <w:pStyle w:val="3"/>
        <w:snapToGrid w:val="0"/>
        <w:spacing w:line="360" w:lineRule="auto"/>
        <w:ind w:firstLine="480" w:firstLineChars="200"/>
        <w:jc w:val="left"/>
        <w:rPr>
          <w:rFonts w:ascii="仿宋_GB2312" w:hAnsi="仿宋_GB2312" w:eastAsia="仿宋_GB2312" w:cs="仿宋_GB2312"/>
          <w:szCs w:val="24"/>
        </w:rPr>
      </w:pPr>
      <w:r>
        <w:rPr>
          <w:rFonts w:hint="eastAsia" w:ascii="仿宋_GB2312" w:hAnsi="仿宋_GB2312" w:eastAsia="仿宋_GB2312" w:cs="仿宋_GB2312"/>
          <w:szCs w:val="24"/>
        </w:rPr>
        <w:t>《信息安全技术 网络安全等级保护测评要求》(GB/T 28448-2019)；</w:t>
      </w:r>
    </w:p>
    <w:p>
      <w:pPr>
        <w:pStyle w:val="3"/>
        <w:snapToGrid w:val="0"/>
        <w:spacing w:line="360" w:lineRule="auto"/>
        <w:ind w:firstLine="480" w:firstLineChars="200"/>
        <w:jc w:val="left"/>
        <w:rPr>
          <w:rFonts w:ascii="仿宋_GB2312" w:hAnsi="仿宋_GB2312" w:eastAsia="仿宋_GB2312" w:cs="仿宋_GB2312"/>
          <w:szCs w:val="24"/>
        </w:rPr>
      </w:pPr>
      <w:r>
        <w:rPr>
          <w:rFonts w:hint="eastAsia" w:ascii="仿宋_GB2312" w:hAnsi="仿宋_GB2312" w:eastAsia="仿宋_GB2312" w:cs="仿宋_GB2312"/>
          <w:szCs w:val="24"/>
        </w:rPr>
        <w:t>《信息安全技术 网络安全等级保护测评过程指南》(GB/T 28449-2018)；</w:t>
      </w:r>
    </w:p>
    <w:p>
      <w:pPr>
        <w:pStyle w:val="3"/>
        <w:snapToGrid w:val="0"/>
        <w:spacing w:line="360" w:lineRule="auto"/>
        <w:ind w:firstLine="480" w:firstLineChars="200"/>
        <w:jc w:val="left"/>
        <w:rPr>
          <w:rFonts w:ascii="仿宋_GB2312" w:hAnsi="仿宋_GB2312" w:eastAsia="仿宋_GB2312" w:cs="仿宋_GB2312"/>
          <w:szCs w:val="24"/>
        </w:rPr>
      </w:pPr>
      <w:r>
        <w:rPr>
          <w:rFonts w:hint="eastAsia" w:ascii="仿宋_GB2312" w:hAnsi="仿宋_GB2312" w:eastAsia="仿宋_GB2312" w:cs="仿宋_GB2312"/>
          <w:szCs w:val="24"/>
        </w:rPr>
        <w:t>《信息安全技术 网络安全等级保护定级指南》（GB/T 22240-2020）。</w:t>
      </w:r>
    </w:p>
    <w:p>
      <w:pPr>
        <w:pStyle w:val="3"/>
        <w:snapToGrid w:val="0"/>
        <w:spacing w:line="360" w:lineRule="auto"/>
        <w:ind w:firstLine="720" w:firstLineChars="300"/>
        <w:jc w:val="left"/>
        <w:rPr>
          <w:rFonts w:ascii="仿宋_GB2312" w:hAnsi="仿宋_GB2312" w:eastAsia="仿宋_GB2312" w:cs="仿宋_GB2312"/>
          <w:szCs w:val="24"/>
        </w:rPr>
      </w:pPr>
      <w:r>
        <w:rPr>
          <w:rFonts w:hint="eastAsia" w:ascii="仿宋_GB2312" w:hAnsi="仿宋_GB2312" w:eastAsia="仿宋_GB2312" w:cs="仿宋_GB2312"/>
          <w:szCs w:val="24"/>
        </w:rPr>
        <w:t>注：以上标准如有更新，以最新版本为准。</w:t>
      </w:r>
    </w:p>
    <w:p>
      <w:pPr>
        <w:pStyle w:val="3"/>
        <w:snapToGrid w:val="0"/>
        <w:spacing w:line="360" w:lineRule="auto"/>
        <w:jc w:val="left"/>
        <w:rPr>
          <w:rFonts w:ascii="仿宋_GB2312" w:hAnsi="仿宋_GB2312" w:eastAsia="仿宋_GB2312" w:cs="仿宋_GB2312"/>
          <w:b/>
          <w:bCs/>
          <w:szCs w:val="24"/>
        </w:rPr>
      </w:pPr>
    </w:p>
    <w:p>
      <w:pPr>
        <w:pStyle w:val="3"/>
        <w:snapToGrid w:val="0"/>
        <w:spacing w:line="360" w:lineRule="auto"/>
        <w:jc w:val="left"/>
        <w:rPr>
          <w:rFonts w:ascii="仿宋_GB2312" w:hAnsi="仿宋_GB2312" w:eastAsia="仿宋_GB2312" w:cs="仿宋_GB2312"/>
          <w:szCs w:val="24"/>
        </w:rPr>
      </w:pPr>
      <w:r>
        <w:rPr>
          <w:rFonts w:hint="eastAsia" w:ascii="仿宋_GB2312" w:hAnsi="仿宋_GB2312" w:eastAsia="仿宋_GB2312" w:cs="仿宋_GB2312"/>
          <w:b/>
          <w:bCs/>
          <w:szCs w:val="24"/>
        </w:rPr>
        <w:t>五、服务要求</w:t>
      </w:r>
    </w:p>
    <w:p>
      <w:pPr>
        <w:pStyle w:val="3"/>
        <w:snapToGrid w:val="0"/>
        <w:spacing w:line="360" w:lineRule="auto"/>
        <w:ind w:firstLine="482" w:firstLineChars="200"/>
        <w:jc w:val="left"/>
        <w:rPr>
          <w:rFonts w:ascii="仿宋_GB2312" w:hAnsi="仿宋_GB2312" w:eastAsia="仿宋_GB2312" w:cs="仿宋_GB2312"/>
          <w:szCs w:val="24"/>
        </w:rPr>
      </w:pPr>
      <w:r>
        <w:rPr>
          <w:rFonts w:hint="eastAsia" w:ascii="仿宋_GB2312" w:hAnsi="仿宋_GB2312" w:eastAsia="仿宋_GB2312" w:cs="仿宋_GB2312"/>
          <w:b/>
          <w:bCs/>
          <w:szCs w:val="24"/>
        </w:rPr>
        <w:t>（一）协助定级、备案</w:t>
      </w:r>
    </w:p>
    <w:p>
      <w:pPr>
        <w:pStyle w:val="3"/>
        <w:snapToGrid w:val="0"/>
        <w:spacing w:line="360" w:lineRule="auto"/>
        <w:ind w:firstLine="480" w:firstLineChars="200"/>
        <w:jc w:val="left"/>
        <w:rPr>
          <w:rFonts w:ascii="仿宋_GB2312" w:hAnsi="仿宋_GB2312" w:eastAsia="仿宋_GB2312" w:cs="仿宋_GB2312"/>
          <w:szCs w:val="24"/>
        </w:rPr>
      </w:pPr>
      <w:r>
        <w:rPr>
          <w:rFonts w:hint="eastAsia" w:ascii="仿宋_GB2312" w:hAnsi="仿宋_GB2312" w:eastAsia="仿宋_GB2312" w:cs="仿宋_GB2312"/>
          <w:szCs w:val="24"/>
        </w:rPr>
        <w:t>供应商应依据等级保护管理办法和定级指南，按照“用户初步定级、专家评审、主管部门审批、公安机关审核”的定级步骤，协助采购人通过确定定级对象、系统初步定级、填写定级备案材料、提交定级备案材料完成首博官方网站系统（中文）、首博办公自动化系统、首博数字出版APP以及首博网络基础环境信息系统的定级工作，取得定级备案证明。</w:t>
      </w:r>
    </w:p>
    <w:p>
      <w:pPr>
        <w:pStyle w:val="3"/>
        <w:snapToGrid w:val="0"/>
        <w:spacing w:line="360" w:lineRule="auto"/>
        <w:ind w:firstLine="482" w:firstLineChars="200"/>
        <w:jc w:val="left"/>
        <w:rPr>
          <w:rFonts w:ascii="仿宋_GB2312" w:hAnsi="仿宋_GB2312" w:eastAsia="仿宋_GB2312" w:cs="仿宋_GB2312"/>
          <w:szCs w:val="24"/>
        </w:rPr>
      </w:pPr>
      <w:r>
        <w:rPr>
          <w:rFonts w:hint="eastAsia" w:ascii="仿宋_GB2312" w:hAnsi="仿宋_GB2312" w:eastAsia="仿宋_GB2312" w:cs="仿宋_GB2312"/>
          <w:b/>
          <w:bCs/>
          <w:szCs w:val="24"/>
        </w:rPr>
        <w:t>（二）差距测评</w:t>
      </w:r>
    </w:p>
    <w:p>
      <w:pPr>
        <w:pStyle w:val="3"/>
        <w:snapToGrid w:val="0"/>
        <w:spacing w:line="360" w:lineRule="auto"/>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供应商应依据《信息安全技术  网络安全等级保护基本要求》（GB/T22239-2019）及行业管理规范，从安全物理环境、安全通信网络、安全区域边界、安全计算环境、安全管理中心、安全管理制度、安全管理机构、安全管理人员、安全建设管理、安全运维管理层面对已定级的首博官方网站信息系统、首博办公自动化系统、首博数字出版APP以及首博网络基础环境信息系统进行安全测评，分析所采取的安全保护措施与等级保护标准要求之间的差距，并出具初测初稿。</w:t>
      </w:r>
    </w:p>
    <w:p>
      <w:pPr>
        <w:pStyle w:val="3"/>
        <w:snapToGrid w:val="0"/>
        <w:spacing w:line="360" w:lineRule="auto"/>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供应商应依据《信息安全技术 网络安全等级保护测评过程指南》(GB/T 28449-2018)及行业管理规范对已定级的首博官方网站信息系统、首博办公自动化系统、首博数字出版APP以及首博网络基础环境信息系统进行漏洞扫描，并出具《安全漏洞扫描报告》。每个信息系统的漏洞扫描服务均应包含一次初测和一次复测。</w:t>
      </w:r>
    </w:p>
    <w:p>
      <w:pPr>
        <w:pStyle w:val="3"/>
        <w:snapToGrid w:val="0"/>
        <w:spacing w:line="360" w:lineRule="auto"/>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供应商应依据初测初稿、《安全漏洞扫描报告》和APP应用检测报告，提出安全建设整改建议，形成初测终稿（即《安全整改建议》）。</w:t>
      </w:r>
    </w:p>
    <w:p>
      <w:pPr>
        <w:pStyle w:val="3"/>
        <w:snapToGrid w:val="0"/>
        <w:spacing w:line="360" w:lineRule="auto"/>
        <w:ind w:firstLine="482" w:firstLineChars="200"/>
        <w:jc w:val="left"/>
        <w:rPr>
          <w:rFonts w:ascii="仿宋_GB2312" w:hAnsi="仿宋_GB2312" w:eastAsia="仿宋_GB2312" w:cs="仿宋_GB2312"/>
          <w:szCs w:val="24"/>
        </w:rPr>
      </w:pPr>
      <w:r>
        <w:rPr>
          <w:rFonts w:hint="eastAsia" w:ascii="仿宋_GB2312" w:hAnsi="仿宋_GB2312" w:eastAsia="仿宋_GB2312" w:cs="仿宋_GB2312"/>
          <w:b/>
          <w:bCs/>
          <w:szCs w:val="24"/>
        </w:rPr>
        <w:t>（三）等级保护测评</w:t>
      </w:r>
    </w:p>
    <w:p>
      <w:pPr>
        <w:pStyle w:val="3"/>
        <w:snapToGrid w:val="0"/>
        <w:spacing w:line="360" w:lineRule="auto"/>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供应商应依据《信息安全技术 网络安全等级保护测评要求》 (GB/T28448-2019)、《信息安全技术 网络安全等级保护测评过程指南》(GB/T 28449-2018)及行业管理规范对已定级的首博官方网站信息系统、首博办公自动化系统、首博数字出版APP以及首博网络基础环境信息系统进行等级保护测评，给出等级保护测评结论，出具《信息系统等级保护测评报告》。</w:t>
      </w:r>
    </w:p>
    <w:p>
      <w:pPr>
        <w:pStyle w:val="3"/>
        <w:snapToGrid w:val="0"/>
        <w:spacing w:line="360" w:lineRule="auto"/>
        <w:ind w:firstLine="482" w:firstLineChars="200"/>
        <w:jc w:val="left"/>
        <w:rPr>
          <w:rFonts w:ascii="仿宋_GB2312" w:hAnsi="仿宋_GB2312" w:eastAsia="仿宋_GB2312" w:cs="仿宋_GB2312"/>
          <w:b/>
          <w:bCs/>
          <w:szCs w:val="24"/>
        </w:rPr>
      </w:pPr>
      <w:r>
        <w:rPr>
          <w:rFonts w:hint="eastAsia" w:ascii="仿宋_GB2312" w:hAnsi="仿宋_GB2312" w:eastAsia="仿宋_GB2312" w:cs="仿宋_GB2312"/>
          <w:b/>
          <w:bCs/>
          <w:szCs w:val="24"/>
        </w:rPr>
        <w:t>（四）管理制度建立与落地</w:t>
      </w:r>
    </w:p>
    <w:p>
      <w:pPr>
        <w:pStyle w:val="3"/>
        <w:snapToGrid w:val="0"/>
        <w:spacing w:line="360" w:lineRule="auto"/>
        <w:ind w:firstLine="480" w:firstLineChars="200"/>
        <w:jc w:val="left"/>
        <w:rPr>
          <w:rFonts w:ascii="仿宋_GB2312" w:hAnsi="仿宋_GB2312" w:eastAsia="仿宋_GB2312" w:cs="仿宋_GB2312"/>
          <w:szCs w:val="24"/>
        </w:rPr>
      </w:pPr>
      <w:r>
        <w:rPr>
          <w:rFonts w:hint="eastAsia" w:ascii="仿宋_GB2312" w:hAnsi="仿宋_GB2312" w:eastAsia="仿宋_GB2312" w:cs="仿宋_GB2312"/>
          <w:szCs w:val="24"/>
        </w:rPr>
        <w:t>供应商应负责编制网络安全管理制度及落地方案、信息系统管理制度及落地方案。供应商应根据首都博物馆信息安全管理现有制度进行安全制度采集，分析出位于物理安全、网络安全、主机系统安全、安全区域边界和安全管理中心等同一层面内的哪些安全技术间可能存在安全功能上的增强和补充作用，对安全管理制度测评将通过访谈、检查的方式，评测信息系统的安全管理制度是否能保证信息安全的适宜性、充分性和有效性。在建立各项网络管理落地方案的同时，将首博已制订的各项制度与可操作的执行文件进行对应，以便在日常工作中保障制度的落实。补充梳理工作发现的相关缺失制度以及可操作的执行文件。包括但不限于《网络及系统管理制度规范》、《网络及系统操作规范》、《制度规范落实操作对照表》。</w:t>
      </w:r>
    </w:p>
    <w:p>
      <w:pPr>
        <w:pStyle w:val="3"/>
        <w:snapToGrid w:val="0"/>
        <w:spacing w:line="360" w:lineRule="auto"/>
        <w:ind w:firstLine="482" w:firstLineChars="200"/>
        <w:jc w:val="left"/>
        <w:rPr>
          <w:rFonts w:ascii="仿宋_GB2312" w:hAnsi="仿宋_GB2312" w:eastAsia="仿宋_GB2312" w:cs="仿宋_GB2312"/>
          <w:szCs w:val="24"/>
        </w:rPr>
      </w:pPr>
      <w:r>
        <w:rPr>
          <w:rFonts w:hint="eastAsia" w:ascii="仿宋_GB2312" w:hAnsi="仿宋_GB2312" w:eastAsia="仿宋_GB2312" w:cs="仿宋_GB2312"/>
          <w:b/>
          <w:bCs/>
          <w:szCs w:val="24"/>
        </w:rPr>
        <w:t>本次等保定级测评具体服务内容详见下表</w:t>
      </w:r>
      <w:r>
        <w:rPr>
          <w:rFonts w:hint="eastAsia" w:ascii="仿宋_GB2312" w:hAnsi="仿宋_GB2312" w:eastAsia="仿宋_GB2312" w:cs="仿宋_GB2312"/>
          <w:szCs w:val="24"/>
        </w:rPr>
        <w:t>（供应商根据采购人要求提供的文档需经过采购人认可后才能作为最终提交物）。在项目结束前由供应商协助采购人通过等保系统定级认证。</w:t>
      </w:r>
    </w:p>
    <w:tbl>
      <w:tblPr>
        <w:tblStyle w:val="6"/>
        <w:tblW w:w="10072" w:type="dxa"/>
        <w:tblInd w:w="-658" w:type="dxa"/>
        <w:tblLayout w:type="autofit"/>
        <w:tblCellMar>
          <w:top w:w="0" w:type="dxa"/>
          <w:left w:w="108" w:type="dxa"/>
          <w:bottom w:w="0" w:type="dxa"/>
          <w:right w:w="108" w:type="dxa"/>
        </w:tblCellMar>
      </w:tblPr>
      <w:tblGrid>
        <w:gridCol w:w="700"/>
        <w:gridCol w:w="1113"/>
        <w:gridCol w:w="2187"/>
        <w:gridCol w:w="3875"/>
        <w:gridCol w:w="2197"/>
      </w:tblGrid>
      <w:tr>
        <w:tblPrEx>
          <w:tblCellMar>
            <w:top w:w="0" w:type="dxa"/>
            <w:left w:w="108" w:type="dxa"/>
            <w:bottom w:w="0" w:type="dxa"/>
            <w:right w:w="108" w:type="dxa"/>
          </w:tblCellMar>
        </w:tblPrEx>
        <w:trPr>
          <w:trHeight w:val="385"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rPr>
              <w:t>序号</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rPr>
              <w:t>服务项目</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rPr>
              <w:t>子项</w:t>
            </w:r>
          </w:p>
        </w:tc>
        <w:tc>
          <w:tcPr>
            <w:tcW w:w="3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rPr>
              <w:t>服务内容</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rPr>
              <w:t>提交物</w:t>
            </w:r>
          </w:p>
        </w:tc>
      </w:tr>
      <w:tr>
        <w:tblPrEx>
          <w:tblCellMar>
            <w:top w:w="0" w:type="dxa"/>
            <w:left w:w="108" w:type="dxa"/>
            <w:bottom w:w="0" w:type="dxa"/>
            <w:right w:w="108" w:type="dxa"/>
          </w:tblCellMar>
        </w:tblPrEx>
        <w:trPr>
          <w:trHeight w:val="335" w:hRule="atLeast"/>
        </w:trPr>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定级备案</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材料准备</w:t>
            </w:r>
          </w:p>
        </w:tc>
        <w:tc>
          <w:tcPr>
            <w:tcW w:w="3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定级报告和备案表材料协助准备。</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定级报告和备案表</w:t>
            </w:r>
          </w:p>
        </w:tc>
      </w:tr>
      <w:tr>
        <w:tblPrEx>
          <w:tblCellMar>
            <w:top w:w="0" w:type="dxa"/>
            <w:left w:w="108" w:type="dxa"/>
            <w:bottom w:w="0" w:type="dxa"/>
            <w:right w:w="108" w:type="dxa"/>
          </w:tblCellMar>
        </w:tblPrEx>
        <w:trPr>
          <w:trHeight w:val="260"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color w:val="000000"/>
                <w:sz w:val="24"/>
                <w:szCs w:val="24"/>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color w:val="000000"/>
                <w:sz w:val="24"/>
                <w:szCs w:val="24"/>
              </w:rPr>
            </w:pP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专家评审</w:t>
            </w:r>
          </w:p>
        </w:tc>
        <w:tc>
          <w:tcPr>
            <w:tcW w:w="3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召开专家评审会</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专家评审意见</w:t>
            </w:r>
          </w:p>
        </w:tc>
      </w:tr>
      <w:tr>
        <w:tblPrEx>
          <w:tblCellMar>
            <w:top w:w="0" w:type="dxa"/>
            <w:left w:w="108" w:type="dxa"/>
            <w:bottom w:w="0" w:type="dxa"/>
            <w:right w:w="108" w:type="dxa"/>
          </w:tblCellMar>
        </w:tblPrEx>
        <w:trPr>
          <w:trHeight w:val="929" w:hRule="atLeast"/>
        </w:trPr>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2</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差距性分析</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实施方案设计</w:t>
            </w:r>
          </w:p>
        </w:tc>
        <w:tc>
          <w:tcPr>
            <w:tcW w:w="3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针对调研结果，设计差距分析的实施方案，包括：评估方法、流程、指标选取、工具等。</w:t>
            </w:r>
          </w:p>
        </w:tc>
        <w:tc>
          <w:tcPr>
            <w:tcW w:w="21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《信息系统问题汇总以及差距分析报告》</w:t>
            </w:r>
          </w:p>
        </w:tc>
      </w:tr>
      <w:tr>
        <w:tblPrEx>
          <w:tblCellMar>
            <w:top w:w="0" w:type="dxa"/>
            <w:left w:w="108" w:type="dxa"/>
            <w:bottom w:w="0" w:type="dxa"/>
            <w:right w:w="108" w:type="dxa"/>
          </w:tblCellMar>
        </w:tblPrEx>
        <w:trPr>
          <w:trHeight w:val="582"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color w:val="000000"/>
                <w:sz w:val="24"/>
                <w:szCs w:val="24"/>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color w:val="000000"/>
                <w:sz w:val="24"/>
                <w:szCs w:val="24"/>
              </w:rPr>
            </w:pP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安全技术脆弱性识别</w:t>
            </w:r>
          </w:p>
        </w:tc>
        <w:tc>
          <w:tcPr>
            <w:tcW w:w="3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对各信息系统安全技术层面要求进行差距分析，找出不符合项与部分符合项。</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1140"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color w:val="000000"/>
                <w:sz w:val="24"/>
                <w:szCs w:val="24"/>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color w:val="000000"/>
                <w:sz w:val="24"/>
                <w:szCs w:val="24"/>
              </w:rPr>
            </w:pP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安全管理脆弱性识别</w:t>
            </w:r>
          </w:p>
        </w:tc>
        <w:tc>
          <w:tcPr>
            <w:tcW w:w="3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对各信息系统安全管理层面要求进行差距分析，找出不符合项与部分符合项。</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90"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color w:val="000000"/>
                <w:sz w:val="24"/>
                <w:szCs w:val="24"/>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color w:val="000000"/>
                <w:sz w:val="24"/>
                <w:szCs w:val="24"/>
              </w:rPr>
            </w:pP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漏洞扫描</w:t>
            </w:r>
          </w:p>
        </w:tc>
        <w:tc>
          <w:tcPr>
            <w:tcW w:w="3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对各业务系统相关资产开展漏洞扫描工作，识别出信息系统存在的安全漏洞。</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855"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color w:val="000000"/>
                <w:sz w:val="24"/>
                <w:szCs w:val="24"/>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color w:val="000000"/>
                <w:sz w:val="24"/>
                <w:szCs w:val="24"/>
              </w:rPr>
            </w:pP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已有安全措施识别</w:t>
            </w:r>
          </w:p>
        </w:tc>
        <w:tc>
          <w:tcPr>
            <w:tcW w:w="3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识别已部署安全措施，并对安全措施的合理性与有效行进行分析。</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648"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color w:val="000000"/>
                <w:sz w:val="24"/>
                <w:szCs w:val="24"/>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color w:val="000000"/>
                <w:sz w:val="24"/>
                <w:szCs w:val="24"/>
              </w:rPr>
            </w:pP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分析结果研判</w:t>
            </w:r>
          </w:p>
        </w:tc>
        <w:tc>
          <w:tcPr>
            <w:tcW w:w="3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对测试结果进行分析和判断，确保差距分析结果的有效行与合理性。</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1140" w:hRule="atLeast"/>
        </w:trPr>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3</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协助整改建设</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安全策略整改建议</w:t>
            </w:r>
          </w:p>
        </w:tc>
        <w:tc>
          <w:tcPr>
            <w:tcW w:w="3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依据差距分析结果，结合业务实际情况对框架内容进行详细划分，形成安全策略。</w:t>
            </w:r>
          </w:p>
        </w:tc>
        <w:tc>
          <w:tcPr>
            <w:tcW w:w="21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《信息系统整改建议书》</w:t>
            </w:r>
          </w:p>
        </w:tc>
      </w:tr>
      <w:tr>
        <w:tblPrEx>
          <w:tblCellMar>
            <w:top w:w="0" w:type="dxa"/>
            <w:left w:w="108" w:type="dxa"/>
            <w:bottom w:w="0" w:type="dxa"/>
            <w:right w:w="108" w:type="dxa"/>
          </w:tblCellMar>
        </w:tblPrEx>
        <w:trPr>
          <w:trHeight w:val="692"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color w:val="000000"/>
                <w:sz w:val="24"/>
                <w:szCs w:val="24"/>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color w:val="000000"/>
                <w:sz w:val="24"/>
                <w:szCs w:val="24"/>
              </w:rPr>
            </w:pP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技术体系整改建议</w:t>
            </w:r>
          </w:p>
        </w:tc>
        <w:tc>
          <w:tcPr>
            <w:tcW w:w="3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依据差距分析结果，结合安全策略内容，编制技术体系整改措施。</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652"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color w:val="000000"/>
                <w:sz w:val="24"/>
                <w:szCs w:val="24"/>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color w:val="000000"/>
                <w:sz w:val="24"/>
                <w:szCs w:val="24"/>
              </w:rPr>
            </w:pP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管理体系整改建议</w:t>
            </w:r>
          </w:p>
        </w:tc>
        <w:tc>
          <w:tcPr>
            <w:tcW w:w="3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依据差距分析结果，结合安全策略内容，编制管理体系整改措施。</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464"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color w:val="000000"/>
                <w:sz w:val="24"/>
                <w:szCs w:val="24"/>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color w:val="000000"/>
                <w:sz w:val="24"/>
                <w:szCs w:val="24"/>
              </w:rPr>
            </w:pP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网络拓扑图结构进行梳理调优</w:t>
            </w:r>
          </w:p>
        </w:tc>
        <w:tc>
          <w:tcPr>
            <w:tcW w:w="3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对现有网络的整体拓扑图进行合理设计并美观展现。</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《系统拓扑图》、《网络节点图》</w:t>
            </w:r>
          </w:p>
        </w:tc>
      </w:tr>
      <w:tr>
        <w:tblPrEx>
          <w:tblCellMar>
            <w:top w:w="0" w:type="dxa"/>
            <w:left w:w="108" w:type="dxa"/>
            <w:bottom w:w="0" w:type="dxa"/>
            <w:right w:w="108" w:type="dxa"/>
          </w:tblCellMar>
        </w:tblPrEx>
        <w:trPr>
          <w:trHeight w:val="677" w:hRule="atLeast"/>
        </w:trPr>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4</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安全管理文档梳理以及</w:t>
            </w:r>
            <w:r>
              <w:rPr>
                <w:rStyle w:val="8"/>
                <w:rFonts w:hint="default" w:hAnsi="仿宋_GB2312"/>
              </w:rPr>
              <w:t>制度建立</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安全管理文档梳理</w:t>
            </w:r>
          </w:p>
        </w:tc>
        <w:tc>
          <w:tcPr>
            <w:tcW w:w="3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依据差距分析结果，结合安全策略内容，协助编制完善各类文档及方案。对现有系统进行全面的制度管理性文档建立。</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《xx信息系统xx制度/方案》</w:t>
            </w:r>
          </w:p>
        </w:tc>
      </w:tr>
      <w:tr>
        <w:tblPrEx>
          <w:tblCellMar>
            <w:top w:w="0" w:type="dxa"/>
            <w:left w:w="108" w:type="dxa"/>
            <w:bottom w:w="0" w:type="dxa"/>
            <w:right w:w="108" w:type="dxa"/>
          </w:tblCellMar>
        </w:tblPrEx>
        <w:trPr>
          <w:trHeight w:val="1966"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color w:val="000000"/>
                <w:sz w:val="24"/>
                <w:szCs w:val="24"/>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color w:val="000000"/>
                <w:sz w:val="24"/>
                <w:szCs w:val="24"/>
              </w:rPr>
            </w:pP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对网络管理制度与执行文件开展梳理</w:t>
            </w:r>
          </w:p>
        </w:tc>
        <w:tc>
          <w:tcPr>
            <w:tcW w:w="3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评测信息系统的安全管理制度是否能保证信息安全的适宜性、充分性和有效性。并将已制订的各项制度与可操作的执行文件进行对应，以保障日常工作中制度的落实。补充梳理工作发现的相关缺失制度以及可操作的执行文件。</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《网络安全管理制度与执行对照报告》</w:t>
            </w:r>
          </w:p>
        </w:tc>
      </w:tr>
      <w:tr>
        <w:tblPrEx>
          <w:tblCellMar>
            <w:top w:w="0" w:type="dxa"/>
            <w:left w:w="108" w:type="dxa"/>
            <w:bottom w:w="0" w:type="dxa"/>
            <w:right w:w="108" w:type="dxa"/>
          </w:tblCellMar>
        </w:tblPrEx>
        <w:trPr>
          <w:trHeight w:val="538" w:hRule="atLeast"/>
        </w:trPr>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5</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系统等级保护测评</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测评方案编制</w:t>
            </w:r>
          </w:p>
        </w:tc>
        <w:tc>
          <w:tcPr>
            <w:tcW w:w="3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确定评测流程、评测指标、评测方法、评测工具等内容。</w:t>
            </w:r>
          </w:p>
        </w:tc>
        <w:tc>
          <w:tcPr>
            <w:tcW w:w="21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 xml:space="preserve">《信息系统等级保护测评报告》   </w:t>
            </w:r>
          </w:p>
        </w:tc>
      </w:tr>
      <w:tr>
        <w:tblPrEx>
          <w:tblCellMar>
            <w:top w:w="0" w:type="dxa"/>
            <w:left w:w="108" w:type="dxa"/>
            <w:bottom w:w="0" w:type="dxa"/>
            <w:right w:w="108" w:type="dxa"/>
          </w:tblCellMar>
        </w:tblPrEx>
        <w:trPr>
          <w:trHeight w:val="446"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color w:val="000000"/>
                <w:sz w:val="24"/>
                <w:szCs w:val="24"/>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color w:val="000000"/>
                <w:sz w:val="24"/>
                <w:szCs w:val="24"/>
              </w:rPr>
            </w:pP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安全技术测评</w:t>
            </w:r>
          </w:p>
        </w:tc>
        <w:tc>
          <w:tcPr>
            <w:tcW w:w="3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物理和环境、网络和通信、设备和计算、应用和数据等安全。</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569"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color w:val="000000"/>
                <w:sz w:val="24"/>
                <w:szCs w:val="24"/>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color w:val="000000"/>
                <w:sz w:val="24"/>
                <w:szCs w:val="24"/>
              </w:rPr>
            </w:pP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安全管理测评</w:t>
            </w:r>
          </w:p>
        </w:tc>
        <w:tc>
          <w:tcPr>
            <w:tcW w:w="3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安全策略和管理制度、安全管理机构和人员、安全建设管理、安全运维管理。</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596"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color w:val="000000"/>
                <w:sz w:val="24"/>
                <w:szCs w:val="24"/>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color w:val="000000"/>
                <w:sz w:val="24"/>
                <w:szCs w:val="24"/>
              </w:rPr>
            </w:pP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整体测评与风险分析</w:t>
            </w:r>
          </w:p>
        </w:tc>
        <w:tc>
          <w:tcPr>
            <w:tcW w:w="3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对评测结论进行合理性与有效行分析,如：判定是否存在高风险。</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607"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color w:val="000000"/>
                <w:sz w:val="24"/>
                <w:szCs w:val="24"/>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color w:val="000000"/>
                <w:sz w:val="24"/>
                <w:szCs w:val="24"/>
              </w:rPr>
            </w:pP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整改后复测</w:t>
            </w:r>
          </w:p>
        </w:tc>
        <w:tc>
          <w:tcPr>
            <w:tcW w:w="3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根据差距分析及整改建议进行整改后测试。</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90"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color w:val="000000"/>
                <w:sz w:val="24"/>
                <w:szCs w:val="24"/>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color w:val="000000"/>
                <w:sz w:val="24"/>
                <w:szCs w:val="24"/>
              </w:rPr>
            </w:pP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测评报告编制</w:t>
            </w:r>
          </w:p>
        </w:tc>
        <w:tc>
          <w:tcPr>
            <w:tcW w:w="3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对评测过程与结论进行汇总，编制各业务系统安全评测报告。</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1014"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6</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培训</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网络安全培训</w:t>
            </w:r>
          </w:p>
        </w:tc>
        <w:tc>
          <w:tcPr>
            <w:tcW w:w="3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结合首博数字化转型的需求，以及供应商在博物馆行业网络安全的最佳实践，对相关部门人员进行多轮次培训。</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《培训教材》</w:t>
            </w:r>
          </w:p>
        </w:tc>
      </w:tr>
      <w:tr>
        <w:tblPrEx>
          <w:tblCellMar>
            <w:top w:w="0" w:type="dxa"/>
            <w:left w:w="108" w:type="dxa"/>
            <w:bottom w:w="0" w:type="dxa"/>
            <w:right w:w="108" w:type="dxa"/>
          </w:tblCellMar>
        </w:tblPrEx>
        <w:trPr>
          <w:trHeight w:val="691" w:hRule="atLeast"/>
        </w:trPr>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7</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安全评估及咨询</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整体安全评估</w:t>
            </w:r>
          </w:p>
        </w:tc>
        <w:tc>
          <w:tcPr>
            <w:tcW w:w="3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对首都博物馆现有其它重要系统进行梳理，提交整体安全分析报告。</w:t>
            </w:r>
          </w:p>
        </w:tc>
        <w:tc>
          <w:tcPr>
            <w:tcW w:w="21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《安全评估报告》</w:t>
            </w:r>
          </w:p>
        </w:tc>
      </w:tr>
      <w:tr>
        <w:tblPrEx>
          <w:tblCellMar>
            <w:top w:w="0" w:type="dxa"/>
            <w:left w:w="108" w:type="dxa"/>
            <w:bottom w:w="0" w:type="dxa"/>
            <w:right w:w="108" w:type="dxa"/>
          </w:tblCellMar>
        </w:tblPrEx>
        <w:trPr>
          <w:trHeight w:val="676"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color w:val="000000"/>
                <w:sz w:val="24"/>
                <w:szCs w:val="24"/>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color w:val="000000"/>
                <w:sz w:val="24"/>
                <w:szCs w:val="24"/>
              </w:rPr>
            </w:pP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咨询</w:t>
            </w:r>
          </w:p>
        </w:tc>
        <w:tc>
          <w:tcPr>
            <w:tcW w:w="3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根据采购人需求对在建系统提供安全建设咨询服务。</w:t>
            </w:r>
          </w:p>
        </w:tc>
        <w:tc>
          <w:tcPr>
            <w:tcW w:w="2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仿宋_GB2312" w:hAnsi="仿宋_GB2312" w:eastAsia="仿宋_GB2312" w:cs="仿宋_GB2312"/>
                <w:color w:val="000000"/>
                <w:sz w:val="24"/>
                <w:szCs w:val="24"/>
              </w:rPr>
            </w:pPr>
          </w:p>
        </w:tc>
      </w:tr>
    </w:tbl>
    <w:p>
      <w:pPr>
        <w:pStyle w:val="3"/>
        <w:snapToGrid w:val="0"/>
        <w:spacing w:line="360" w:lineRule="auto"/>
        <w:jc w:val="left"/>
        <w:rPr>
          <w:rFonts w:ascii="仿宋_GB2312" w:hAnsi="仿宋_GB2312" w:eastAsia="仿宋_GB2312" w:cs="仿宋_GB2312"/>
          <w:b/>
          <w:bCs/>
          <w:szCs w:val="24"/>
        </w:rPr>
      </w:pPr>
    </w:p>
    <w:p>
      <w:pPr>
        <w:pStyle w:val="3"/>
        <w:snapToGrid w:val="0"/>
        <w:spacing w:line="360" w:lineRule="auto"/>
        <w:jc w:val="left"/>
        <w:rPr>
          <w:rFonts w:ascii="仿宋_GB2312" w:hAnsi="仿宋_GB2312" w:eastAsia="仿宋_GB2312" w:cs="仿宋_GB2312"/>
          <w:szCs w:val="24"/>
        </w:rPr>
      </w:pPr>
      <w:r>
        <w:rPr>
          <w:rFonts w:hint="eastAsia" w:ascii="仿宋_GB2312" w:hAnsi="仿宋_GB2312" w:eastAsia="仿宋_GB2312" w:cs="仿宋_GB2312"/>
          <w:b/>
          <w:bCs/>
          <w:szCs w:val="24"/>
        </w:rPr>
        <w:t>五、人员要求</w:t>
      </w:r>
    </w:p>
    <w:p>
      <w:pPr>
        <w:pStyle w:val="3"/>
        <w:snapToGrid w:val="0"/>
        <w:spacing w:line="360" w:lineRule="auto"/>
        <w:ind w:firstLine="480" w:firstLineChars="200"/>
        <w:jc w:val="left"/>
        <w:rPr>
          <w:rFonts w:ascii="仿宋_GB2312" w:hAnsi="仿宋_GB2312" w:eastAsia="仿宋_GB2312" w:cs="仿宋_GB2312"/>
          <w:dstrike/>
          <w:color w:val="FF0000"/>
          <w:szCs w:val="24"/>
        </w:rPr>
      </w:pPr>
      <w:r>
        <w:rPr>
          <w:rFonts w:hint="eastAsia" w:ascii="仿宋_GB2312" w:hAnsi="仿宋_GB2312" w:eastAsia="仿宋_GB2312" w:cs="仿宋_GB2312"/>
          <w:szCs w:val="24"/>
        </w:rPr>
        <w:t>供应商应为本项目配备专有的服务团队，测评人员应不少于</w:t>
      </w:r>
      <w:r>
        <w:rPr>
          <w:rFonts w:hint="eastAsia" w:ascii="仿宋_GB2312" w:hAnsi="仿宋_GB2312" w:eastAsia="仿宋_GB2312" w:cs="仿宋_GB2312"/>
          <w:szCs w:val="24"/>
          <w:u w:val="single"/>
        </w:rPr>
        <w:t>20</w:t>
      </w:r>
      <w:r>
        <w:rPr>
          <w:rFonts w:hint="eastAsia" w:ascii="仿宋_GB2312" w:hAnsi="仿宋_GB2312" w:eastAsia="仿宋_GB2312" w:cs="仿宋_GB2312"/>
          <w:szCs w:val="24"/>
        </w:rPr>
        <w:t>人。同时，须明确项目负责人，负责项目整体实施、协调和调度工作，项目负责人应具备丰富的类似项目经验及职称、证书（例如项目管理专业人士资格认证（PMP））；同时应按照项目实施的要求，配置相应岗位的人员。团队人员应掌握相关领域的专业知识，其中专业技术人员应具备公安部颁发的《信息安全等级测评师》资格证书、</w:t>
      </w:r>
      <w:r>
        <w:rPr>
          <w:rFonts w:hint="eastAsia" w:ascii="仿宋_GB2312" w:hAnsi="仿宋_GB2312" w:eastAsia="仿宋_GB2312" w:cs="仿宋_GB2312"/>
          <w:color w:val="000000"/>
          <w:szCs w:val="24"/>
        </w:rPr>
        <w:t>国家注册网络安全测评专业人员(NSATP)证书等与项目开展有关的专业证书。</w:t>
      </w:r>
    </w:p>
    <w:p>
      <w:pPr>
        <w:pStyle w:val="3"/>
        <w:snapToGrid w:val="0"/>
        <w:spacing w:line="360" w:lineRule="auto"/>
        <w:jc w:val="left"/>
        <w:rPr>
          <w:rFonts w:ascii="仿宋_GB2312" w:hAnsi="仿宋_GB2312" w:eastAsia="仿宋_GB2312" w:cs="仿宋_GB2312"/>
          <w:b/>
          <w:bCs/>
          <w:szCs w:val="24"/>
        </w:rPr>
      </w:pPr>
    </w:p>
    <w:p>
      <w:pPr>
        <w:pStyle w:val="3"/>
        <w:snapToGrid w:val="0"/>
        <w:spacing w:line="360" w:lineRule="auto"/>
        <w:jc w:val="left"/>
        <w:rPr>
          <w:rFonts w:ascii="仿宋_GB2312" w:hAnsi="仿宋_GB2312" w:eastAsia="仿宋_GB2312" w:cs="仿宋_GB2312"/>
          <w:b/>
          <w:bCs/>
          <w:szCs w:val="24"/>
        </w:rPr>
      </w:pPr>
      <w:r>
        <w:rPr>
          <w:rFonts w:hint="eastAsia" w:ascii="仿宋_GB2312" w:hAnsi="仿宋_GB2312" w:eastAsia="仿宋_GB2312" w:cs="仿宋_GB2312"/>
          <w:b/>
          <w:bCs/>
          <w:szCs w:val="24"/>
        </w:rPr>
        <w:t>六、其他要求</w:t>
      </w:r>
    </w:p>
    <w:p>
      <w:pPr>
        <w:pStyle w:val="3"/>
        <w:snapToGrid w:val="0"/>
        <w:spacing w:line="360" w:lineRule="auto"/>
        <w:ind w:firstLine="480" w:firstLineChars="200"/>
        <w:jc w:val="left"/>
        <w:rPr>
          <w:rFonts w:ascii="仿宋_GB2312" w:hAnsi="仿宋_GB2312" w:eastAsia="仿宋_GB2312" w:cs="仿宋_GB2312"/>
          <w:szCs w:val="24"/>
        </w:rPr>
      </w:pPr>
      <w:r>
        <w:rPr>
          <w:rFonts w:hint="eastAsia" w:ascii="仿宋_GB2312" w:hAnsi="仿宋_GB2312" w:eastAsia="仿宋_GB2312" w:cs="仿宋_GB2312"/>
          <w:szCs w:val="24"/>
        </w:rPr>
        <w:t>结合服务要求，在响应文件中提供：</w:t>
      </w:r>
    </w:p>
    <w:p>
      <w:pPr>
        <w:pStyle w:val="3"/>
        <w:snapToGrid w:val="0"/>
        <w:spacing w:line="360" w:lineRule="auto"/>
        <w:ind w:firstLine="480" w:firstLineChars="200"/>
        <w:jc w:val="left"/>
        <w:rPr>
          <w:rFonts w:ascii="仿宋_GB2312" w:hAnsi="仿宋_GB2312" w:eastAsia="仿宋_GB2312" w:cs="仿宋_GB2312"/>
          <w:szCs w:val="24"/>
        </w:rPr>
      </w:pPr>
      <w:r>
        <w:rPr>
          <w:rFonts w:hint="eastAsia" w:ascii="仿宋_GB2312" w:hAnsi="仿宋_GB2312" w:eastAsia="仿宋_GB2312" w:cs="仿宋_GB2312"/>
          <w:szCs w:val="24"/>
        </w:rPr>
        <w:t>1、供应商情况介绍及类似工作经验；如具备与本项目开展相关的专业认证或资质证书，可在响应文件中提供（例如有效的ISO9001质量管理体系认证证书、有效的ISO27001信息安全管理体系认证证书、有效的中国网络安全技术审查与认证中心颁发的信息安全风险评估二级及以上资质等）。</w:t>
      </w:r>
    </w:p>
    <w:p>
      <w:pPr>
        <w:pStyle w:val="3"/>
        <w:snapToGrid w:val="0"/>
        <w:spacing w:line="360" w:lineRule="auto"/>
        <w:ind w:firstLine="480" w:firstLineChars="200"/>
        <w:jc w:val="left"/>
        <w:rPr>
          <w:rFonts w:ascii="仿宋_GB2312" w:hAnsi="仿宋_GB2312" w:eastAsia="仿宋_GB2312" w:cs="仿宋_GB2312"/>
          <w:szCs w:val="24"/>
        </w:rPr>
      </w:pPr>
      <w:r>
        <w:rPr>
          <w:rFonts w:hint="eastAsia" w:ascii="仿宋_GB2312" w:hAnsi="仿宋_GB2312" w:eastAsia="仿宋_GB2312" w:cs="仿宋_GB2312"/>
          <w:szCs w:val="24"/>
        </w:rPr>
        <w:t>2、针对本项目的重难点分析及对采购人合理建议、整体服务方案（包括但不限于协助定级、备案等措施办法，差距性分析方案，等级保护测评方案，管理制度建立方案）、技术支持及售后服务方案、质量保证方案等；</w:t>
      </w:r>
    </w:p>
    <w:p>
      <w:pPr>
        <w:pStyle w:val="3"/>
        <w:snapToGrid w:val="0"/>
        <w:spacing w:line="360" w:lineRule="auto"/>
        <w:ind w:firstLine="480" w:firstLineChars="200"/>
        <w:jc w:val="left"/>
        <w:rPr>
          <w:rFonts w:ascii="仿宋_GB2312" w:hAnsi="仿宋_GB2312" w:eastAsia="仿宋_GB2312" w:cs="仿宋_GB2312"/>
          <w:szCs w:val="24"/>
        </w:rPr>
      </w:pPr>
      <w:r>
        <w:rPr>
          <w:rFonts w:hint="eastAsia" w:ascii="仿宋_GB2312" w:hAnsi="仿宋_GB2312" w:eastAsia="仿宋_GB2312" w:cs="仿宋_GB2312"/>
          <w:szCs w:val="24"/>
        </w:rPr>
        <w:t>3、针对本项目拟派团队人员情况。</w:t>
      </w:r>
    </w:p>
    <w:p>
      <w:pPr>
        <w:pStyle w:val="3"/>
        <w:snapToGrid w:val="0"/>
        <w:spacing w:line="360" w:lineRule="auto"/>
        <w:ind w:firstLine="480" w:firstLineChars="200"/>
        <w:jc w:val="left"/>
        <w:rPr>
          <w:rFonts w:ascii="仿宋_GB2312" w:hAnsi="仿宋_GB2312" w:eastAsia="仿宋_GB2312" w:cs="仿宋_GB2312"/>
          <w:szCs w:val="24"/>
        </w:rPr>
      </w:pPr>
    </w:p>
    <w:p>
      <w:pPr>
        <w:pStyle w:val="3"/>
        <w:snapToGrid w:val="0"/>
        <w:spacing w:line="360" w:lineRule="auto"/>
        <w:jc w:val="left"/>
        <w:rPr>
          <w:rFonts w:ascii="仿宋_GB2312" w:hAnsi="仿宋_GB2312" w:eastAsia="仿宋_GB2312" w:cs="仿宋_GB2312"/>
          <w:b/>
          <w:bCs/>
          <w:szCs w:val="24"/>
        </w:rPr>
      </w:pPr>
      <w:r>
        <w:rPr>
          <w:rFonts w:hint="eastAsia" w:ascii="仿宋_GB2312" w:hAnsi="仿宋_GB2312" w:eastAsia="仿宋_GB2312" w:cs="仿宋_GB2312"/>
          <w:b/>
          <w:bCs/>
          <w:szCs w:val="24"/>
        </w:rPr>
        <w:t>七、交付成果</w:t>
      </w:r>
    </w:p>
    <w:p>
      <w:pPr>
        <w:pStyle w:val="3"/>
        <w:snapToGrid w:val="0"/>
        <w:spacing w:line="360" w:lineRule="auto"/>
        <w:ind w:firstLine="480" w:firstLineChars="200"/>
        <w:jc w:val="left"/>
        <w:rPr>
          <w:rFonts w:ascii="仿宋_GB2312" w:hAnsi="仿宋_GB2312" w:eastAsia="仿宋_GB2312" w:cs="仿宋_GB2312"/>
          <w:szCs w:val="24"/>
        </w:rPr>
      </w:pPr>
      <w:r>
        <w:rPr>
          <w:rFonts w:hint="eastAsia" w:ascii="仿宋_GB2312" w:hAnsi="仿宋_GB2312" w:eastAsia="仿宋_GB2312" w:cs="仿宋_GB2312"/>
          <w:szCs w:val="24"/>
        </w:rPr>
        <w:t>供应商应提供符合本项目要求的工作成果，并对工作成果的准确性、完整性、保密负责。</w:t>
      </w:r>
    </w:p>
    <w:p>
      <w:pPr>
        <w:pStyle w:val="3"/>
        <w:snapToGrid w:val="0"/>
        <w:spacing w:line="360" w:lineRule="auto"/>
        <w:ind w:firstLine="480" w:firstLineChars="200"/>
        <w:jc w:val="left"/>
        <w:rPr>
          <w:rFonts w:ascii="仿宋_GB2312" w:hAnsi="仿宋_GB2312" w:eastAsia="仿宋_GB2312" w:cs="仿宋_GB2312"/>
          <w:szCs w:val="24"/>
        </w:rPr>
      </w:pPr>
      <w:r>
        <w:rPr>
          <w:rFonts w:hint="eastAsia" w:ascii="仿宋_GB2312" w:hAnsi="仿宋_GB2312" w:eastAsia="仿宋_GB2312" w:cs="仿宋_GB2312"/>
          <w:szCs w:val="24"/>
        </w:rPr>
        <w:t>供应商应以报告形式,包括电子版和纸质版两种方式向采购人提供工作成果，工作成果包括但不限于：</w:t>
      </w:r>
    </w:p>
    <w:p>
      <w:pPr>
        <w:pStyle w:val="3"/>
        <w:snapToGrid w:val="0"/>
        <w:spacing w:line="360" w:lineRule="auto"/>
        <w:ind w:firstLine="480" w:firstLineChars="200"/>
        <w:jc w:val="left"/>
        <w:rPr>
          <w:rFonts w:ascii="仿宋_GB2312" w:hAnsi="仿宋_GB2312" w:eastAsia="仿宋_GB2312" w:cs="仿宋_GB2312"/>
          <w:szCs w:val="24"/>
        </w:rPr>
      </w:pPr>
      <w:r>
        <w:rPr>
          <w:rFonts w:hint="eastAsia" w:ascii="仿宋_GB2312" w:hAnsi="仿宋_GB2312" w:eastAsia="仿宋_GB2312" w:cs="仿宋_GB2312"/>
          <w:szCs w:val="24"/>
        </w:rPr>
        <w:t>报告1：《网络安全等级保护被测对象名称等级测评报告》</w:t>
      </w:r>
    </w:p>
    <w:p>
      <w:pPr>
        <w:pStyle w:val="3"/>
        <w:snapToGrid w:val="0"/>
        <w:spacing w:line="360" w:lineRule="auto"/>
        <w:ind w:firstLine="480" w:firstLineChars="200"/>
        <w:jc w:val="left"/>
        <w:rPr>
          <w:rFonts w:ascii="仿宋_GB2312" w:hAnsi="仿宋_GB2312" w:eastAsia="仿宋_GB2312" w:cs="仿宋_GB2312"/>
          <w:szCs w:val="24"/>
        </w:rPr>
      </w:pPr>
      <w:r>
        <w:rPr>
          <w:rFonts w:hint="eastAsia" w:ascii="仿宋_GB2312" w:hAnsi="仿宋_GB2312" w:eastAsia="仿宋_GB2312" w:cs="仿宋_GB2312"/>
          <w:szCs w:val="24"/>
        </w:rPr>
        <w:t>报告2：《被测对象名称漏洞扫描报告》</w:t>
      </w:r>
    </w:p>
    <w:p>
      <w:pPr>
        <w:pStyle w:val="3"/>
        <w:snapToGrid w:val="0"/>
        <w:spacing w:line="360" w:lineRule="auto"/>
        <w:ind w:firstLine="480" w:firstLineChars="200"/>
        <w:jc w:val="left"/>
        <w:rPr>
          <w:rFonts w:ascii="仿宋_GB2312" w:hAnsi="仿宋_GB2312" w:eastAsia="仿宋_GB2312" w:cs="仿宋_GB2312"/>
          <w:szCs w:val="24"/>
        </w:rPr>
      </w:pPr>
      <w:r>
        <w:rPr>
          <w:rFonts w:hint="eastAsia" w:ascii="仿宋_GB2312" w:hAnsi="仿宋_GB2312" w:eastAsia="仿宋_GB2312" w:cs="仿宋_GB2312"/>
          <w:szCs w:val="24"/>
        </w:rPr>
        <w:t>报告3：《APP应用检测报告》</w:t>
      </w:r>
    </w:p>
    <w:p>
      <w:pPr>
        <w:pStyle w:val="3"/>
        <w:snapToGrid w:val="0"/>
        <w:spacing w:line="360" w:lineRule="auto"/>
        <w:ind w:firstLine="480" w:firstLineChars="200"/>
        <w:jc w:val="left"/>
        <w:rPr>
          <w:rFonts w:ascii="仿宋_GB2312" w:hAnsi="仿宋_GB2312" w:eastAsia="仿宋_GB2312" w:cs="仿宋_GB2312"/>
          <w:szCs w:val="24"/>
        </w:rPr>
      </w:pPr>
      <w:r>
        <w:rPr>
          <w:rFonts w:hint="eastAsia" w:ascii="仿宋_GB2312" w:hAnsi="仿宋_GB2312" w:eastAsia="仿宋_GB2312" w:cs="仿宋_GB2312"/>
          <w:szCs w:val="24"/>
        </w:rPr>
        <w:t>报告4：网络管理制度规范</w:t>
      </w:r>
    </w:p>
    <w:p>
      <w:pPr>
        <w:pStyle w:val="3"/>
        <w:snapToGrid w:val="0"/>
        <w:spacing w:line="360" w:lineRule="auto"/>
        <w:ind w:firstLine="480" w:firstLineChars="200"/>
        <w:jc w:val="left"/>
        <w:rPr>
          <w:rFonts w:ascii="仿宋_GB2312" w:hAnsi="仿宋_GB2312" w:eastAsia="仿宋_GB2312" w:cs="仿宋_GB2312"/>
          <w:szCs w:val="24"/>
        </w:rPr>
      </w:pPr>
      <w:r>
        <w:rPr>
          <w:rFonts w:hint="eastAsia" w:ascii="仿宋_GB2312" w:hAnsi="仿宋_GB2312" w:eastAsia="仿宋_GB2312" w:cs="仿宋_GB2312"/>
          <w:szCs w:val="24"/>
        </w:rPr>
        <w:t>报告5：网络操作规范</w:t>
      </w:r>
    </w:p>
    <w:p>
      <w:pPr>
        <w:pStyle w:val="3"/>
        <w:snapToGrid w:val="0"/>
        <w:spacing w:line="360" w:lineRule="auto"/>
        <w:ind w:firstLine="480" w:firstLineChars="200"/>
        <w:jc w:val="left"/>
        <w:rPr>
          <w:rFonts w:ascii="仿宋_GB2312" w:hAnsi="仿宋_GB2312" w:eastAsia="仿宋_GB2312" w:cs="仿宋_GB2312"/>
          <w:szCs w:val="24"/>
        </w:rPr>
      </w:pPr>
      <w:r>
        <w:rPr>
          <w:rFonts w:hint="eastAsia" w:ascii="仿宋_GB2312" w:hAnsi="仿宋_GB2312" w:eastAsia="仿宋_GB2312" w:cs="仿宋_GB2312"/>
          <w:szCs w:val="24"/>
        </w:rPr>
        <w:t>报告6：制度落实操作对照表</w:t>
      </w:r>
    </w:p>
    <w:p>
      <w:pPr>
        <w:pStyle w:val="3"/>
        <w:snapToGrid w:val="0"/>
        <w:spacing w:line="360" w:lineRule="auto"/>
        <w:jc w:val="left"/>
        <w:rPr>
          <w:rFonts w:ascii="仿宋_GB2312" w:hAnsi="仿宋_GB2312" w:eastAsia="仿宋_GB2312" w:cs="仿宋_GB2312"/>
          <w:b/>
          <w:bCs/>
          <w:szCs w:val="24"/>
        </w:rPr>
      </w:pPr>
    </w:p>
    <w:p>
      <w:pPr>
        <w:pStyle w:val="3"/>
        <w:snapToGrid w:val="0"/>
        <w:spacing w:line="360" w:lineRule="auto"/>
        <w:jc w:val="left"/>
        <w:rPr>
          <w:rFonts w:ascii="仿宋_GB2312" w:hAnsi="仿宋_GB2312" w:eastAsia="仿宋_GB2312" w:cs="仿宋_GB2312"/>
          <w:b/>
          <w:bCs/>
          <w:szCs w:val="24"/>
        </w:rPr>
      </w:pPr>
      <w:r>
        <w:rPr>
          <w:rFonts w:hint="eastAsia" w:ascii="仿宋_GB2312" w:hAnsi="仿宋_GB2312" w:eastAsia="仿宋_GB2312" w:cs="仿宋_GB2312"/>
          <w:b/>
          <w:bCs/>
          <w:szCs w:val="24"/>
        </w:rPr>
        <w:t>八、付款方式</w:t>
      </w:r>
    </w:p>
    <w:p>
      <w:pPr>
        <w:pStyle w:val="3"/>
        <w:snapToGrid w:val="0"/>
        <w:spacing w:line="360" w:lineRule="auto"/>
        <w:ind w:firstLine="480" w:firstLineChars="200"/>
        <w:jc w:val="left"/>
        <w:rPr>
          <w:rFonts w:ascii="仿宋_GB2312" w:hAnsi="仿宋_GB2312" w:eastAsia="仿宋_GB2312" w:cs="仿宋_GB2312"/>
          <w:color w:val="auto"/>
          <w:szCs w:val="24"/>
        </w:rPr>
      </w:pPr>
      <w:r>
        <w:rPr>
          <w:rFonts w:hint="eastAsia" w:ascii="仿宋_GB2312" w:hAnsi="仿宋_GB2312" w:eastAsia="仿宋_GB2312" w:cs="仿宋_GB2312"/>
          <w:color w:val="auto"/>
          <w:szCs w:val="24"/>
        </w:rPr>
        <w:t>自合同签订之日起10个工作日内，采购人向供应商支付服务费用的70%。测评余款在合同项下的报告经采购人验收合格后5个工作日内支付，供应商应在收款前为采购人开具税率6%的合法的等额增值税专用发票。</w:t>
      </w:r>
    </w:p>
    <w:p>
      <w:bookmarkStart w:id="1" w:name="_GoBack"/>
      <w:bookmarkEnd w:id="1"/>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69</w:t>
                    </w:r>
                    <w:r>
                      <w:fldChar w:fldCharType="end"/>
                    </w:r>
                  </w:p>
                </w:txbxContent>
              </v:textbox>
            </v:shape>
          </w:pict>
        </mc:Fallback>
      </mc:AlternateConten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both"/>
      <w:rPr>
        <w:u w:val="single"/>
      </w:rPr>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BB62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 Spacing"/>
    <w:qFormat/>
    <w:uiPriority w:val="1"/>
    <w:rPr>
      <w:rFonts w:ascii="Calibri" w:hAnsi="Calibri" w:eastAsia="宋体" w:cs="Times New Roman"/>
      <w:sz w:val="22"/>
      <w:szCs w:val="22"/>
      <w:lang w:val="en-US" w:eastAsia="zh-CN" w:bidi="ar-SA"/>
    </w:rPr>
  </w:style>
  <w:style w:type="paragraph" w:styleId="3">
    <w:name w:val="Body Text"/>
    <w:basedOn w:val="1"/>
    <w:qFormat/>
    <w:uiPriority w:val="0"/>
    <w:rPr>
      <w:sz w:val="24"/>
    </w:rPr>
  </w:style>
  <w:style w:type="paragraph" w:styleId="4">
    <w:name w:val="footer"/>
    <w:basedOn w:val="1"/>
    <w:qFormat/>
    <w:uiPriority w:val="0"/>
    <w:pPr>
      <w:tabs>
        <w:tab w:val="center" w:pos="4153"/>
        <w:tab w:val="right" w:pos="8306"/>
      </w:tabs>
      <w:adjustRightInd w:val="0"/>
      <w:spacing w:line="240" w:lineRule="atLeast"/>
      <w:jc w:val="left"/>
      <w:textAlignment w:val="baseline"/>
    </w:pPr>
    <w:rPr>
      <w:kern w:val="0"/>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rPr>
  </w:style>
  <w:style w:type="character" w:customStyle="1" w:styleId="8">
    <w:name w:val="font31"/>
    <w:basedOn w:val="7"/>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sujingqing</dc:creator>
  <cp:lastModifiedBy>Z</cp:lastModifiedBy>
  <dcterms:modified xsi:type="dcterms:W3CDTF">2021-06-16T02:42:26Z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0F0A1E41735B472580407DD27B3078D9</vt:lpwstr>
  </property>
</Properties>
</file>