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rPr>
        <w:t>首博安防系统老旧设备更换项目—有线对讲、视频传输、监视屏改造项目</w:t>
      </w:r>
      <w:r>
        <w:rPr>
          <w:rFonts w:hint="eastAsia" w:ascii="仿宋_GB2312" w:hAnsi="仿宋_GB2312" w:eastAsia="仿宋_GB2312" w:cs="仿宋_GB2312"/>
          <w:b/>
          <w:bCs w:val="0"/>
          <w:sz w:val="28"/>
          <w:szCs w:val="28"/>
          <w:lang w:val="en-US" w:eastAsia="zh-CN"/>
        </w:rPr>
        <w:t>采购需求</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一、项目名称：</w:t>
      </w:r>
    </w:p>
    <w:p>
      <w:pPr>
        <w:pStyle w:val="9"/>
        <w:spacing w:line="360" w:lineRule="auto"/>
        <w:ind w:firstLine="48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首博安防系统老旧设备更换项目—有线对讲、视频传输、监视屏改造。</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二、预算金额：</w:t>
      </w:r>
    </w:p>
    <w:p>
      <w:pPr>
        <w:tabs>
          <w:tab w:val="left" w:pos="420"/>
        </w:tabs>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97.8390万元。</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三、工期：</w:t>
      </w:r>
    </w:p>
    <w:p>
      <w:pPr>
        <w:tabs>
          <w:tab w:val="left" w:pos="420"/>
        </w:tabs>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60天。</w:t>
      </w:r>
      <w:bookmarkStart w:id="0" w:name="_GoBack"/>
      <w:bookmarkEnd w:id="0"/>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四、质保期：</w:t>
      </w:r>
    </w:p>
    <w:p>
      <w:pPr>
        <w:tabs>
          <w:tab w:val="left" w:pos="420"/>
        </w:tabs>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24个月。</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五、供应商资格要求：</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遵守相关的国家法律、法规、规章和规范性文件，具备下列条件：</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（1）具备《中华人民共和国政府采购法》第二十二条规定的条件：</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1.具有独立承担民事责任的能力；</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2.具有良好的商业信誉和健全的财务会计制度；</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3.具有履行合同所必需的设备和专业技术能力；</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4.有依法缴纳税收和社会保障资金的良好记录；</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5.参加政府采购活动前三年内，在经营活动中没有重大违法记录；</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6.法律、行政法规规定的其他条件。</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（2）具备电子与智能化工程专业承包二级（含）以上资质；</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(4)本项目不接受联合体。</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六、供应商应提供的项目范围包含但不仅限于以下方面：（具体内容详见第八条工程量清单及主要设备技术参数要求。）</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1.安防监控系统大屏监视器升级改造；</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2.有线对讲系统升级改造；</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3.视频传输设备（光端机）更换；</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4.旧系统设备、线缆拆除；</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七、技术要求：</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1、项目实施要严格遵守国家有关规定，技术先进、经济合理、适用可靠，并为今后系统功能的扩展留有充分发展余地，具有更好的前瞻性和扩展性。</w:t>
      </w:r>
    </w:p>
    <w:p>
      <w:pPr>
        <w:pStyle w:val="11"/>
        <w:spacing w:line="360" w:lineRule="auto"/>
        <w:ind w:firstLine="48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2、项目实施依据以下标准规范（</w:t>
      </w:r>
      <w:r>
        <w:rPr>
          <w:rFonts w:hint="eastAsia" w:ascii="仿宋_GB2312" w:hAnsi="仿宋_GB2312" w:eastAsia="仿宋_GB2312" w:cs="仿宋_GB2312"/>
          <w:color w:val="auto"/>
          <w:sz w:val="24"/>
          <w:lang w:val="en-US"/>
        </w:rPr>
        <w:t>以下要求如有最新版本，以最新版本为准</w:t>
      </w:r>
      <w:r>
        <w:rPr>
          <w:rFonts w:hint="eastAsia" w:ascii="仿宋_GB2312" w:hAnsi="仿宋_GB2312" w:eastAsia="仿宋_GB2312" w:cs="仿宋_GB2312"/>
          <w:color w:val="auto"/>
          <w:sz w:val="24"/>
        </w:rPr>
        <w:t>）：</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GB50348-2018《安全防范工程技术标准》</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GA 27-2002《文物系统博物馆风险等级和安全防护级别的规定》</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GB/T 16571-2012《博物馆和文物保护单位安全防范系统要求》</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GB 50311-2016《综合布线系统工程设计规范》</w:t>
      </w:r>
    </w:p>
    <w:p>
      <w:pPr>
        <w:pStyle w:val="10"/>
        <w:spacing w:line="360" w:lineRule="auto"/>
        <w:ind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GB/T 50312-2016《综合布线系统工程验收规范》</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GB/T28181-2016《安全防范高清智能监控联网系统信息传输、交换、控制技术要求》 </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3、材料和工程设备相关技术要求：</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成交供应商负责完成本工程所需的材料、设备的采购、检测、验收、运输和保管，成交供应商采购的材料、设备需经采购人认可后方可采购，且所采购材料、设备需经采购人检验后方可使用；本次项目要求所投设备需与首博安防系统能够兼容对接。</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4、项目实施要求：</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（1）在本项目成交供应商所供应的设备、器材、部件、材料及设计、施工、测试、验收应符合国际标准化组织及国际、国内相关行业现行的标准。</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（2）特殊重要要求：</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系统改造过程中应采取必要的技术措施和工程进度安排，尽量减少对采购人现安防系统运行使用造成影响。</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有文物存放场所施工时应该高度重视施工对文物的保护，施工必须听从相关工作人员的安排，必须保证文物安全，不得损坏文物。如因施工原因造成采购人损失，施工方承担一切后果。</w:t>
      </w:r>
    </w:p>
    <w:p>
      <w:pPr>
        <w:pStyle w:val="2"/>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kern w:val="2"/>
          <w:sz w:val="24"/>
          <w:szCs w:val="20"/>
          <w:lang w:val="en-US" w:eastAsia="zh-CN" w:bidi="ar-SA"/>
        </w:rPr>
        <w:t xml:space="preserve">   （3）响应供应商应在响应文件中制订明确的《质量保修方案》以及具体的《培训方案及计划》。经采购人认可后，将作为合同附件。</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5、有关本工程质量方面的要求：检验结果应符合GB/T 16571-2012《博物馆和文物保护单位安全防范系统要求》、GA27-2002《文物系统博物馆风险等级和安全防护级别的规定》中技术防范要求的有关规定。</w:t>
      </w:r>
    </w:p>
    <w:p>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本项目主要设备须承诺24个月免费保修、所有软件24个月免费保修升级、电话报修后4小时上门服务、12小时内排除故障，所有软件永久授权。</w:t>
      </w:r>
    </w:p>
    <w:p>
      <w:pPr>
        <w:pStyle w:val="3"/>
        <w:spacing w:before="0" w:after="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八、工程量清单及主要设备选型技术参数要求：</w:t>
      </w:r>
    </w:p>
    <w:p>
      <w:pPr>
        <w:pStyle w:val="4"/>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特别说明：下表中“#”号指标需要提供检测报告或白皮书或厂家彩页等作为证明材料。</w:t>
      </w:r>
      <w:r>
        <w:rPr>
          <w:rFonts w:hint="eastAsia" w:ascii="仿宋_GB2312" w:hAnsi="仿宋_GB2312" w:eastAsia="仿宋_GB2312" w:cs="仿宋_GB2312"/>
          <w:color w:val="auto"/>
          <w:kern w:val="0"/>
          <w:sz w:val="24"/>
          <w:lang w:val="zh-CN"/>
        </w:rPr>
        <w:t>未提供符合规定的</w:t>
      </w:r>
      <w:r>
        <w:rPr>
          <w:rFonts w:hint="eastAsia" w:ascii="仿宋_GB2312" w:hAnsi="仿宋_GB2312" w:eastAsia="仿宋_GB2312" w:cs="仿宋_GB2312"/>
          <w:color w:val="auto"/>
          <w:kern w:val="0"/>
          <w:sz w:val="24"/>
        </w:rPr>
        <w:t>技术支持材料/技术支持资料</w:t>
      </w:r>
      <w:r>
        <w:rPr>
          <w:rFonts w:hint="eastAsia" w:ascii="仿宋_GB2312" w:hAnsi="仿宋_GB2312" w:eastAsia="仿宋_GB2312" w:cs="仿宋_GB2312"/>
          <w:color w:val="auto"/>
          <w:kern w:val="0"/>
          <w:sz w:val="24"/>
          <w:lang w:val="zh-CN"/>
        </w:rPr>
        <w:t>中没有对应指标</w:t>
      </w:r>
      <w:r>
        <w:rPr>
          <w:rFonts w:hint="eastAsia" w:ascii="仿宋_GB2312" w:hAnsi="仿宋_GB2312" w:eastAsia="仿宋_GB2312" w:cs="仿宋_GB2312"/>
          <w:color w:val="auto"/>
          <w:kern w:val="0"/>
          <w:sz w:val="24"/>
        </w:rPr>
        <w:t>/技术支持资料中技术指标</w:t>
      </w:r>
      <w:r>
        <w:rPr>
          <w:rFonts w:hint="eastAsia" w:ascii="仿宋_GB2312" w:hAnsi="仿宋_GB2312" w:eastAsia="仿宋_GB2312" w:cs="仿宋_GB2312"/>
          <w:color w:val="auto"/>
          <w:kern w:val="0"/>
          <w:sz w:val="24"/>
          <w:lang w:val="zh-CN"/>
        </w:rPr>
        <w:t>不满足</w:t>
      </w:r>
      <w:r>
        <w:rPr>
          <w:rFonts w:hint="eastAsia" w:ascii="仿宋_GB2312" w:hAnsi="仿宋_GB2312" w:eastAsia="仿宋_GB2312" w:cs="仿宋_GB2312"/>
          <w:color w:val="auto"/>
          <w:kern w:val="0"/>
          <w:sz w:val="24"/>
        </w:rPr>
        <w:t>招标文件</w:t>
      </w:r>
      <w:r>
        <w:rPr>
          <w:rFonts w:hint="eastAsia" w:ascii="仿宋_GB2312" w:hAnsi="仿宋_GB2312" w:eastAsia="仿宋_GB2312" w:cs="仿宋_GB2312"/>
          <w:color w:val="auto"/>
          <w:kern w:val="0"/>
          <w:sz w:val="24"/>
          <w:lang w:val="zh-CN"/>
        </w:rPr>
        <w:t>技术参数要求的，</w:t>
      </w:r>
      <w:r>
        <w:rPr>
          <w:rFonts w:hint="eastAsia" w:ascii="仿宋_GB2312" w:hAnsi="仿宋_GB2312" w:eastAsia="仿宋_GB2312" w:cs="仿宋_GB2312"/>
          <w:color w:val="auto"/>
          <w:kern w:val="0"/>
          <w:sz w:val="24"/>
        </w:rPr>
        <w:t>均</w:t>
      </w:r>
      <w:r>
        <w:rPr>
          <w:rFonts w:hint="eastAsia" w:ascii="仿宋_GB2312" w:hAnsi="仿宋_GB2312" w:eastAsia="仿宋_GB2312" w:cs="仿宋_GB2312"/>
          <w:color w:val="auto"/>
          <w:kern w:val="0"/>
          <w:sz w:val="24"/>
          <w:lang w:val="zh-CN"/>
        </w:rPr>
        <w:t>视为不满足对应参数要求（即负偏离）。</w:t>
      </w:r>
    </w:p>
    <w:tbl>
      <w:tblPr>
        <w:tblStyle w:val="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29"/>
        <w:gridCol w:w="4786"/>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668"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序号</w:t>
            </w:r>
          </w:p>
        </w:tc>
        <w:tc>
          <w:tcPr>
            <w:tcW w:w="1629"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项目名称</w:t>
            </w:r>
          </w:p>
        </w:tc>
        <w:tc>
          <w:tcPr>
            <w:tcW w:w="4786" w:type="dxa"/>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参数要求</w:t>
            </w:r>
          </w:p>
        </w:tc>
        <w:tc>
          <w:tcPr>
            <w:tcW w:w="709"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数量</w:t>
            </w:r>
          </w:p>
        </w:tc>
        <w:tc>
          <w:tcPr>
            <w:tcW w:w="850"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68" w:type="dxa"/>
            <w:shd w:val="clear" w:color="auto" w:fill="auto"/>
            <w:vAlign w:val="center"/>
          </w:tcPr>
          <w:p>
            <w:pPr>
              <w:spacing w:line="360" w:lineRule="auto"/>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一</w:t>
            </w:r>
          </w:p>
        </w:tc>
        <w:tc>
          <w:tcPr>
            <w:tcW w:w="7974" w:type="dxa"/>
            <w:gridSpan w:val="4"/>
            <w:shd w:val="clear" w:color="auto" w:fill="auto"/>
            <w:vAlign w:val="center"/>
          </w:tcPr>
          <w:p>
            <w:pPr>
              <w:spacing w:line="360" w:lineRule="auto"/>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安防监控系统大屏监视器升级改造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监视器</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46寸监视器（根据现场电视墙支架规格选配）</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1、≥46寸LCD</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2、≤3.5mm拼缝</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3、色彩度≥16.7M；</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4、亮度≥500；</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5、对比度≥4000:1；</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6、视频输入不少于1个DVI接口，2个HDMI接口，1个VGA接口；USB：1个；</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7、视频环出不少于1个HDMI接口；控制接口：1个输入RS-232接口，1个输出RS-232接口；1个红外接口；</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液晶拼接显示单元具备四级色温模式自动调整功能，同时支持色温无级调节，可在 2000K 至 12000K 之间调节；</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液晶拼接显示单元连续运行3000 小时，背光LED光衰≤0.3%；</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液晶拼接显示显示单元的色彩还原准确性指标ΔE≤0.9；</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配线</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根据监视安装配套</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旧设备拆除及新设备安装调试</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旧设备拆除及新设备安装调试；</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注：旧设备、管、线材拆除期间不能影响安防系统及其他子系统的正常运行；</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二</w:t>
            </w:r>
          </w:p>
        </w:tc>
        <w:tc>
          <w:tcPr>
            <w:tcW w:w="7974" w:type="dxa"/>
            <w:gridSpan w:val="4"/>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有线对讲系统升级改造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对讲主机</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1、采用嵌入式操作系统，稳定可靠，满足7*24小时不间断工作；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2、一体化结构设计，多点电容式触摸屏操作；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3、显示屏尺寸≥10.1英寸，分辨率≥1280 X 800； </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4、内置高清广角摄像头，视角≥120度；</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摄像头像素≥200W，上下角度可手动调节；</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6、自带手柄话筒、长杆话筒，支持免提、手柄2种对讲方式，支持手柄话筒摘机接听，对讲音频采样率≥16KHz；</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7、具有两个物理按键，可用于一键求助报警和广播喊话，提升应急处置能力；</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8、支持双向1080P高清可视全双工对讲，本地摄像头可手动开关；</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支持监听监视功能，可对管理的分机、终端进行单路监听监视或循环自动监听监视，监听监视时长可自由设置；</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支持文件广播、喊话广播、外接音源广播，可不少于16路音源文件同时广播不同分区；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支持视频联动，本机可同屏显示通话设备的视频画面和绑定的IPC(监控摄像机)画面，任一画面可一键放大全屏画中画显示，便于全面掌握现场情况；</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11、支持多方通话功能(≥32方)，多方通话可设置“指挥模式”和“会议模式”；</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12、支持呼叫转移功能，具有遇忙转移、无响应转移、关机转移、手动转移等；</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13、支持多级管理架构，不少于5级，各级设备可互联互通；</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支持服务器离线工作模式，本机在无服务器状态下可正常接收呼叫、可视对讲、多方通话、文件广播、录音录像存储；</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15、支持交班留影留言，可通过本机进行录制、存储、播放；</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16、支持语音播报分机的描述信息，描述信息可自定义；</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17、支持通话转移，可将当前分机的通话转移至其他主机上；</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18、支持通话保持，可保留当前分机的通话，接听其他设备呼叫；</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19、支持遇忙转移，当分机呼叫忙线的主机时，可自动将呼叫转移到其他主机上；</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20、支持标准的SIP协议，可与VOIP网络电话互联互通；</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21、支持HDMI高清输出，可将本机显示屏的画面投至电视墙上进行显示；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22、支持IP冲突提示；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23、支持远程故障检测，可实时检测设备在线、离线状态；</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24、支持音频输入、录音输出、RS485通讯、≥2路开关量输出、报警输入、耳麦、USB接口；</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25、支持通过浏览器远程管理，可查看设备信息、参数配置、软件升级和重启设备；</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26、</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支持宽电压输入，在DC 11V～DC24V电压范围内均能正常工作；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支持POE供电，支持适配器供电、集中供电；</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对讲分机</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1、金属防暴外壳，壁挂式安装；</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2、采用嵌入式操作系统，稳定可靠，满足7*24小时不间断工作；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3、外壳抗破坏防暴等级≥IK10，防护等级≥IP55；</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4、自带报警金属按钮，可对指定的设备进行一键报警；</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5、金属按钮内置环形背光灯，可通过背光灯的颜色状态判断分机的待机、呼叫、通话以及网络连接等状态；</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支持1080P可视全双工对讲，对讲音频采样率≥16KHz；</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内置高清广角摄像头，像素不低于200W，支持ICR红外滤片式自动切换，光线较弱时也能清晰拍摄；</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支持设置分机输出的视频分辨率及码率；</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8、支持接收并播放主机的各种广播任务；</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9、支持标准的SIP协议，可与VOIP网络电话互联互通；</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10、支持接收第三方软件的控制指令，播放指定的音频文件；</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11、支持标准ONVIF协议，可将本机采集到的音视频实时传输到网络硬盘录像机；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支持移动侦测报警，对视频画面指定的区域进行实时监测，检测到指定区域有人员或物体移动时自动向主机报警，支持设置指定时间段启用；</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13、支持喧哗报警，当环境噪声超过设定阈值时，可自动向对讲主机发出报警；</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14、支持防拆报警，当设备被拆除时，可自动向对讲主机发出报警；</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15、支持一键呼叫多台主机，多台主机可同时收到呼叫信息，任意主机均可接听并进行对讲；</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16、支持语音播报本机IP地址、IP冲突提示；</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17、支持系统自动校时功能；</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18、支持通过IE浏览器远程管理，可查看设备信息、参数配置、软件升级和重启设备； </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19、自带≥2路开关量输入、≥2路开关量输出、音频输出、输入接口，外接报警按钮、门灯、复位按钮、有源音箱等接口；</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支持宽电压输入，在DC 8V～DC24V电压范围内均能正常工作；</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支持设置分机输出的视频分辨率及码率；</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20</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配线</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RVV6*1.0</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2500</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配管</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金属穿线管JDG25</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1500</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旧设备、管、线材拆除及安装调试</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旧设备、管、线材拆除及安装调试；</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注：旧设备、管、线材拆除期间不能影响安防系统及其他子系统的正常运行；</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四</w:t>
            </w:r>
          </w:p>
        </w:tc>
        <w:tc>
          <w:tcPr>
            <w:tcW w:w="7974" w:type="dxa"/>
            <w:gridSpan w:val="4"/>
            <w:shd w:val="clear" w:color="auto" w:fill="auto"/>
            <w:vAlign w:val="center"/>
          </w:tcPr>
          <w:p>
            <w:pPr>
              <w:spacing w:line="360" w:lineRule="auto"/>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视频传输设备（光端机）更换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62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光端机箱</w:t>
            </w:r>
          </w:p>
        </w:tc>
        <w:tc>
          <w:tcPr>
            <w:tcW w:w="4786" w:type="dxa"/>
            <w:shd w:val="clear" w:color="000000" w:fill="FFFFFF"/>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1、3U双电源机箱，支持全系列光端机热插拔；</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2、工作电压DC5V20A；</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平均无故障工作时间:大于10万小时；</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4、工作温度: -20℃-+70℃；</w:t>
            </w:r>
          </w:p>
        </w:tc>
        <w:tc>
          <w:tcPr>
            <w:tcW w:w="70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25</w:t>
            </w:r>
          </w:p>
        </w:tc>
        <w:tc>
          <w:tcPr>
            <w:tcW w:w="850"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62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4路视频多模光端机</w:t>
            </w:r>
          </w:p>
        </w:tc>
        <w:tc>
          <w:tcPr>
            <w:tcW w:w="4786" w:type="dxa"/>
            <w:shd w:val="clear" w:color="000000" w:fill="FFFFFF"/>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1、8BIT/16.5MHz视频信号数字采样</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2、高速同步数字传输技术</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3、超级光学动态范围，使用时无需调节</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4、无电磁干扰、无射频干扰、无地电流</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带电热插拔(插卡结构)</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6、保障恶劣电磁环境安全传输</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7、连接器：BNC视频连接器、压线端子数据连接器、FC光学连接器</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8、视频直流恢复</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9、数据接口: RS232/RS422/RS485</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允许2km的标准最大链损为25dB</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11、三级防雷10kv/8μS</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12、平均无故障工作时间:大于10万小时</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13、工作温度: -20℃-+70℃</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14、工作湿度: 0-95% (无冷凝)</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15、光接口: 多模FC</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16、</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数据接口：RS485/422/232</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17、</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数据数率: 0-115.2Kbps</w:t>
            </w:r>
          </w:p>
        </w:tc>
        <w:tc>
          <w:tcPr>
            <w:tcW w:w="70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240</w:t>
            </w:r>
          </w:p>
        </w:tc>
        <w:tc>
          <w:tcPr>
            <w:tcW w:w="850"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62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4路视频4路音频光端机</w:t>
            </w:r>
          </w:p>
        </w:tc>
        <w:tc>
          <w:tcPr>
            <w:tcW w:w="4786" w:type="dxa"/>
            <w:shd w:val="clear" w:color="000000" w:fill="FFFFFF"/>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8BIT/16.5MHz视频信号数字采样</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2、高速同步数字传输技术</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3、超级光学动态范围，使用时无需调节</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4、无电磁干扰、无射频干扰、无地电流</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5、带电热插拔(插卡结构)</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6、保障恶劣电磁环境安全传输</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7、连接器：BNC视频连接器、压线端子数据连接器、FC光学连接器</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8、视频直流恢复</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9、数据接口: RS232/RS422/RS485</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允许2km的标准最大链损为25dB</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11、</w:t>
            </w:r>
            <w:r>
              <w:rPr>
                <w:rFonts w:hint="eastAsia" w:ascii="仿宋_GB2312" w:hAnsi="仿宋_GB2312" w:eastAsia="仿宋_GB2312" w:cs="仿宋_GB2312"/>
                <w:b/>
                <w:color w:val="auto"/>
                <w:szCs w:val="21"/>
              </w:rPr>
              <w:t>#</w:t>
            </w:r>
            <w:r>
              <w:rPr>
                <w:rFonts w:hint="eastAsia" w:ascii="仿宋_GB2312" w:hAnsi="仿宋_GB2312" w:eastAsia="仿宋_GB2312" w:cs="仿宋_GB2312"/>
                <w:color w:val="auto"/>
                <w:szCs w:val="21"/>
              </w:rPr>
              <w:t>三级防雷10kv/8μS</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12、平均无故障工作时间:大于10万小时</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13、工作温度: -20℃-+70℃</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14、工作湿度: 0-95% (无冷凝)</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15、光接口:多模FC</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16、数据数率: 0-115.2Kbps</w:t>
            </w:r>
          </w:p>
        </w:tc>
        <w:tc>
          <w:tcPr>
            <w:tcW w:w="709"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850" w:type="dxa"/>
            <w:shd w:val="clear" w:color="000000" w:fill="FFFFFF"/>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8"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62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旧设备拆除及新设备安装调试</w:t>
            </w:r>
          </w:p>
        </w:tc>
        <w:tc>
          <w:tcPr>
            <w:tcW w:w="4786" w:type="dxa"/>
          </w:tcPr>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旧设备拆除及新设备安装调试；</w:t>
            </w:r>
          </w:p>
          <w:p>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注：旧设备、管、线材拆除期间不能影响安防系统及其他子系统的正常运行；</w:t>
            </w:r>
          </w:p>
        </w:tc>
        <w:tc>
          <w:tcPr>
            <w:tcW w:w="709"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850" w:type="dxa"/>
            <w:shd w:val="clear" w:color="auto" w:fill="auto"/>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项</w:t>
            </w:r>
          </w:p>
        </w:tc>
      </w:tr>
    </w:tbl>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u w:val="single"/>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139FA"/>
    <w:rsid w:val="63213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 Spacing"/>
    <w:qFormat/>
    <w:uiPriority w:val="1"/>
    <w:rPr>
      <w:rFonts w:ascii="Calibri" w:hAnsi="Calibri" w:eastAsia="宋体" w:cs="Times New Roman"/>
      <w:sz w:val="22"/>
      <w:szCs w:val="22"/>
      <w:lang w:val="en-US" w:eastAsia="zh-CN" w:bidi="ar-SA"/>
    </w:rPr>
  </w:style>
  <w:style w:type="paragraph" w:styleId="4">
    <w:name w:val="annotation text"/>
    <w:basedOn w:val="1"/>
    <w:semiHidden/>
    <w:qFormat/>
    <w:uiPriority w:val="0"/>
    <w:pPr>
      <w:jc w:val="left"/>
    </w:pPr>
  </w:style>
  <w:style w:type="paragraph" w:styleId="5">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List Paragraph"/>
    <w:basedOn w:val="1"/>
    <w:qFormat/>
    <w:uiPriority w:val="99"/>
    <w:pPr>
      <w:ind w:firstLine="420" w:firstLineChars="200"/>
    </w:pPr>
  </w:style>
  <w:style w:type="paragraph" w:customStyle="1" w:styleId="10">
    <w:name w:val="正文，段落，小四，22磅行距"/>
    <w:basedOn w:val="1"/>
    <w:qFormat/>
    <w:uiPriority w:val="0"/>
    <w:pPr>
      <w:spacing w:line="440" w:lineRule="exact"/>
      <w:ind w:firstLine="420"/>
    </w:pPr>
    <w:rPr>
      <w:rFonts w:ascii="Calibri" w:hAnsi="Calibri"/>
      <w:sz w:val="24"/>
      <w:lang w:val="zh-CN"/>
    </w:rPr>
  </w:style>
  <w:style w:type="paragraph" w:customStyle="1" w:styleId="11">
    <w:name w:val="彩色列表 - 强调文字颜色 11"/>
    <w:basedOn w:val="1"/>
    <w:qFormat/>
    <w:uiPriority w:val="34"/>
    <w:pPr>
      <w:ind w:firstLine="420" w:firstLineChars="200"/>
    </w:pPr>
    <w:rPr>
      <w:kern w:val="0"/>
      <w:sz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2021-06-10T08:11:00Z</dcterms:created>
  <dc:creator>Z</dc:creator>
  <cp:lastModifiedBy>Z</cp:lastModifiedBy>
  <dcterms:modified xsi:type="dcterms:W3CDTF">2021-06-10T08:17:27Z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168416FA46CC44C193F28EF1031532B0</vt:lpwstr>
  </property>
</Properties>
</file>