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421" w:rsidRPr="00476095" w:rsidRDefault="00A46421" w:rsidP="00A46421">
      <w:pPr>
        <w:pStyle w:val="4"/>
        <w:snapToGrid w:val="0"/>
        <w:rPr>
          <w:rFonts w:ascii="Arial" w:eastAsia="黑体" w:hAnsi="Arial" w:cs="Arial"/>
          <w:b w:val="0"/>
          <w:w w:val="80"/>
          <w:sz w:val="44"/>
        </w:rPr>
      </w:pPr>
      <w:bookmarkStart w:id="0" w:name="_Toc511647356"/>
      <w:bookmarkStart w:id="1" w:name="_GoBack"/>
      <w:bookmarkEnd w:id="1"/>
      <w:r w:rsidRPr="00476095">
        <w:rPr>
          <w:rFonts w:ascii="Arial" w:eastAsia="黑体" w:hAnsi="Arial" w:cs="Arial" w:hint="eastAsia"/>
          <w:b w:val="0"/>
          <w:w w:val="80"/>
          <w:sz w:val="44"/>
        </w:rPr>
        <w:t>服务</w:t>
      </w:r>
      <w:r w:rsidRPr="00476095">
        <w:rPr>
          <w:rFonts w:ascii="Arial" w:eastAsia="黑体" w:hAnsi="Arial" w:cs="Arial"/>
          <w:b w:val="0"/>
          <w:w w:val="80"/>
          <w:sz w:val="44"/>
        </w:rPr>
        <w:t>要求</w:t>
      </w:r>
      <w:bookmarkEnd w:id="0"/>
    </w:p>
    <w:p w:rsidR="00A46421" w:rsidRPr="00476095" w:rsidRDefault="00A46421" w:rsidP="00A46421">
      <w:pPr>
        <w:keepNext/>
        <w:keepLines/>
        <w:numPr>
          <w:ilvl w:val="0"/>
          <w:numId w:val="1"/>
        </w:numPr>
        <w:spacing w:line="360" w:lineRule="auto"/>
        <w:outlineLvl w:val="0"/>
        <w:rPr>
          <w:rFonts w:ascii="黑体" w:eastAsia="黑体" w:hAnsi="黑体"/>
          <w:b/>
          <w:i/>
          <w:iCs/>
          <w:kern w:val="44"/>
          <w:sz w:val="24"/>
          <w:szCs w:val="24"/>
        </w:rPr>
      </w:pPr>
      <w:bookmarkStart w:id="2" w:name="_Toc511647357"/>
      <w:r w:rsidRPr="00476095">
        <w:rPr>
          <w:rFonts w:ascii="黑体" w:eastAsia="黑体" w:hAnsi="黑体" w:hint="eastAsia"/>
          <w:b/>
          <w:kern w:val="44"/>
          <w:sz w:val="24"/>
          <w:szCs w:val="24"/>
        </w:rPr>
        <w:t>项目背景</w:t>
      </w:r>
      <w:bookmarkEnd w:id="2"/>
    </w:p>
    <w:p w:rsidR="00A46421" w:rsidRPr="00476095" w:rsidRDefault="00A46421" w:rsidP="00A46421">
      <w:pPr>
        <w:adjustRightInd w:val="0"/>
        <w:snapToGrid w:val="0"/>
        <w:spacing w:line="360" w:lineRule="auto"/>
        <w:ind w:firstLineChars="200" w:firstLine="480"/>
        <w:jc w:val="left"/>
        <w:rPr>
          <w:rFonts w:ascii="Arial" w:hAnsi="Arial" w:cs="Arial"/>
          <w:sz w:val="24"/>
        </w:rPr>
      </w:pPr>
      <w:r w:rsidRPr="00476095">
        <w:rPr>
          <w:rFonts w:ascii="Arial" w:hAnsi="Arial" w:cs="Arial" w:hint="eastAsia"/>
          <w:sz w:val="24"/>
        </w:rPr>
        <w:t>我馆地下一层东侧自助餐厅上方消防管路因年久失修，多次出现管路漏水现象，存在严重的消防安全隐患。为保障消防设备设施正常使用，解决该</w:t>
      </w:r>
      <w:proofErr w:type="gramStart"/>
      <w:r w:rsidRPr="00476095">
        <w:rPr>
          <w:rFonts w:ascii="Arial" w:hAnsi="Arial" w:cs="Arial" w:hint="eastAsia"/>
          <w:sz w:val="24"/>
        </w:rPr>
        <w:t>区域消防</w:t>
      </w:r>
      <w:proofErr w:type="gramEnd"/>
      <w:r w:rsidRPr="00476095">
        <w:rPr>
          <w:rFonts w:ascii="Arial" w:hAnsi="Arial" w:cs="Arial" w:hint="eastAsia"/>
          <w:sz w:val="24"/>
        </w:rPr>
        <w:t>管路漏水问题，根据开放与安保部意见，物业部决定对该区域相关消防管路设施进行维修更换。</w:t>
      </w:r>
    </w:p>
    <w:p w:rsidR="00A46421" w:rsidRPr="00476095" w:rsidRDefault="00A46421" w:rsidP="00A46421">
      <w:pPr>
        <w:adjustRightInd w:val="0"/>
        <w:snapToGrid w:val="0"/>
        <w:spacing w:line="360" w:lineRule="auto"/>
        <w:ind w:firstLineChars="200" w:firstLine="480"/>
        <w:jc w:val="left"/>
        <w:rPr>
          <w:rFonts w:ascii="Arial" w:hAnsi="Arial" w:cs="Arial"/>
          <w:sz w:val="24"/>
        </w:rPr>
      </w:pPr>
      <w:r w:rsidRPr="00476095">
        <w:rPr>
          <w:rFonts w:ascii="Arial" w:hAnsi="Arial" w:cs="Arial" w:hint="eastAsia"/>
          <w:sz w:val="24"/>
        </w:rPr>
        <w:t>供应商需对我馆地下一层东侧自助餐厅上方消防管路进行维修更换，对在维修过程中的损坏的装饰装修进行恢复。</w:t>
      </w:r>
    </w:p>
    <w:p w:rsidR="00A46421" w:rsidRPr="00476095" w:rsidRDefault="00A46421" w:rsidP="00A46421">
      <w:pPr>
        <w:keepNext/>
        <w:keepLines/>
        <w:numPr>
          <w:ilvl w:val="0"/>
          <w:numId w:val="1"/>
        </w:numPr>
        <w:spacing w:line="360" w:lineRule="auto"/>
        <w:outlineLvl w:val="0"/>
        <w:rPr>
          <w:rFonts w:ascii="黑体" w:eastAsia="黑体" w:hAnsi="黑体"/>
          <w:b/>
          <w:kern w:val="44"/>
          <w:sz w:val="24"/>
          <w:szCs w:val="24"/>
        </w:rPr>
      </w:pPr>
      <w:bookmarkStart w:id="3" w:name="_Toc511647358"/>
      <w:r w:rsidRPr="00476095">
        <w:rPr>
          <w:rFonts w:ascii="黑体" w:eastAsia="黑体" w:hAnsi="黑体" w:hint="eastAsia"/>
          <w:b/>
          <w:kern w:val="44"/>
          <w:sz w:val="24"/>
          <w:szCs w:val="24"/>
        </w:rPr>
        <w:t>采购说明</w:t>
      </w:r>
      <w:bookmarkEnd w:id="3"/>
    </w:p>
    <w:p w:rsidR="00A46421" w:rsidRPr="00476095" w:rsidRDefault="00A46421" w:rsidP="00A46421">
      <w:pPr>
        <w:spacing w:line="360" w:lineRule="auto"/>
        <w:rPr>
          <w:rFonts w:ascii="宋体" w:hAnsi="宋体" w:cs="宋体"/>
          <w:sz w:val="24"/>
          <w:szCs w:val="24"/>
        </w:rPr>
      </w:pPr>
      <w:r w:rsidRPr="00476095">
        <w:rPr>
          <w:rFonts w:ascii="宋体" w:hAnsi="宋体" w:cs="宋体" w:hint="eastAsia"/>
          <w:b/>
          <w:sz w:val="24"/>
          <w:szCs w:val="24"/>
        </w:rPr>
        <w:t>2.1</w:t>
      </w:r>
      <w:r w:rsidRPr="00476095">
        <w:rPr>
          <w:rFonts w:ascii="宋体" w:hAnsi="宋体" w:cs="宋体" w:hint="eastAsia"/>
          <w:sz w:val="24"/>
          <w:szCs w:val="24"/>
        </w:rPr>
        <w:t>本采购需求中所指的用户包括所采购货物、服务和工程的使用方、集成方、运行方、管理者。</w:t>
      </w:r>
    </w:p>
    <w:p w:rsidR="00A46421" w:rsidRPr="00476095" w:rsidRDefault="00A46421" w:rsidP="00A46421">
      <w:pPr>
        <w:spacing w:line="360" w:lineRule="auto"/>
        <w:rPr>
          <w:rFonts w:ascii="宋体" w:hAnsi="宋体" w:cs="宋体"/>
          <w:sz w:val="24"/>
          <w:szCs w:val="24"/>
        </w:rPr>
      </w:pPr>
      <w:r w:rsidRPr="00476095">
        <w:rPr>
          <w:rFonts w:ascii="宋体" w:hAnsi="宋体" w:cs="宋体" w:hint="eastAsia"/>
          <w:b/>
          <w:sz w:val="24"/>
          <w:szCs w:val="24"/>
        </w:rPr>
        <w:t>2.2</w:t>
      </w:r>
      <w:r w:rsidRPr="00476095">
        <w:rPr>
          <w:rFonts w:ascii="宋体" w:hAnsi="宋体" w:cs="宋体" w:hint="eastAsia"/>
          <w:sz w:val="24"/>
          <w:szCs w:val="24"/>
        </w:rPr>
        <w:t>供应商提供的货物和技术服务必须符合中华人民共和国相关法律法规销售许可。</w:t>
      </w:r>
    </w:p>
    <w:p w:rsidR="00A46421" w:rsidRDefault="00A46421" w:rsidP="00A46421">
      <w:pPr>
        <w:tabs>
          <w:tab w:val="left" w:pos="0"/>
          <w:tab w:val="left" w:pos="555"/>
        </w:tabs>
        <w:spacing w:line="360" w:lineRule="auto"/>
        <w:rPr>
          <w:rFonts w:ascii="宋体" w:hAnsi="宋体" w:cs="宋体" w:hint="eastAsia"/>
          <w:sz w:val="24"/>
          <w:szCs w:val="24"/>
        </w:rPr>
      </w:pPr>
      <w:r w:rsidRPr="00476095">
        <w:rPr>
          <w:rFonts w:ascii="宋体" w:hAnsi="宋体" w:cs="宋体" w:hint="eastAsia"/>
          <w:b/>
          <w:sz w:val="24"/>
          <w:szCs w:val="24"/>
        </w:rPr>
        <w:t>2.3</w:t>
      </w:r>
      <w:r w:rsidRPr="00476095">
        <w:rPr>
          <w:rFonts w:ascii="宋体" w:hAnsi="宋体" w:cs="宋体" w:hint="eastAsia"/>
          <w:sz w:val="24"/>
          <w:szCs w:val="24"/>
        </w:rPr>
        <w:t>供应商所提供的货物和服务，如若发生侵犯专利权的行为时，其侵权责任与买方无关，应由供应商承担相应的责任，并不得损害买方的利益。</w:t>
      </w:r>
    </w:p>
    <w:p w:rsidR="00A46421" w:rsidRPr="00476095" w:rsidRDefault="00A46421" w:rsidP="00A46421">
      <w:pPr>
        <w:tabs>
          <w:tab w:val="left" w:pos="0"/>
          <w:tab w:val="left" w:pos="555"/>
        </w:tabs>
        <w:spacing w:line="360" w:lineRule="auto"/>
        <w:rPr>
          <w:rFonts w:ascii="宋体" w:hAnsi="宋体"/>
          <w:sz w:val="24"/>
          <w:szCs w:val="24"/>
        </w:rPr>
      </w:pPr>
      <w:r w:rsidRPr="00476095">
        <w:rPr>
          <w:rFonts w:ascii="宋体" w:hAnsi="宋体" w:hint="eastAsia"/>
          <w:b/>
          <w:sz w:val="24"/>
          <w:szCs w:val="24"/>
        </w:rPr>
        <w:t>2.4</w:t>
      </w:r>
      <w:r w:rsidRPr="00476095">
        <w:rPr>
          <w:rFonts w:ascii="宋体" w:hAnsi="宋体" w:hint="eastAsia"/>
          <w:sz w:val="24"/>
          <w:szCs w:val="24"/>
        </w:rPr>
        <w:t>本次采购产品为非进口产品。</w:t>
      </w:r>
    </w:p>
    <w:p w:rsidR="00A46421" w:rsidRPr="00476095" w:rsidRDefault="00A46421" w:rsidP="00A46421">
      <w:pPr>
        <w:keepNext/>
        <w:keepLines/>
        <w:numPr>
          <w:ilvl w:val="0"/>
          <w:numId w:val="1"/>
        </w:numPr>
        <w:spacing w:line="360" w:lineRule="auto"/>
        <w:outlineLvl w:val="0"/>
        <w:rPr>
          <w:kern w:val="44"/>
          <w:sz w:val="44"/>
        </w:rPr>
      </w:pPr>
      <w:bookmarkStart w:id="4" w:name="_Toc511647359"/>
      <w:r w:rsidRPr="00476095">
        <w:rPr>
          <w:rFonts w:ascii="黑体" w:eastAsia="黑体" w:hAnsi="黑体" w:hint="eastAsia"/>
          <w:b/>
          <w:kern w:val="44"/>
          <w:sz w:val="24"/>
          <w:szCs w:val="24"/>
        </w:rPr>
        <w:t>改造项目内容</w:t>
      </w:r>
      <w:bookmarkEnd w:id="4"/>
    </w:p>
    <w:p w:rsidR="00A46421" w:rsidRPr="00476095" w:rsidRDefault="00A46421" w:rsidP="00A46421">
      <w:pPr>
        <w:keepNext/>
        <w:keepLines/>
        <w:spacing w:line="360" w:lineRule="auto"/>
        <w:outlineLvl w:val="0"/>
        <w:rPr>
          <w:rFonts w:ascii="黑体" w:eastAsia="黑体" w:hAnsi="黑体"/>
          <w:b/>
          <w:kern w:val="44"/>
          <w:sz w:val="24"/>
          <w:szCs w:val="24"/>
        </w:rPr>
      </w:pPr>
    </w:p>
    <w:tbl>
      <w:tblPr>
        <w:tblW w:w="83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660"/>
        <w:gridCol w:w="1149"/>
        <w:gridCol w:w="6521"/>
      </w:tblGrid>
      <w:tr w:rsidR="00A46421" w:rsidRPr="00476095" w:rsidTr="003C0334">
        <w:trPr>
          <w:trHeight w:val="567"/>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bookmarkStart w:id="5" w:name="_Toc58310552"/>
            <w:bookmarkStart w:id="6" w:name="_Toc58310610"/>
            <w:r w:rsidRPr="00476095">
              <w:rPr>
                <w:rFonts w:ascii="宋体" w:hAnsi="宋体" w:hint="eastAsia"/>
                <w:szCs w:val="21"/>
              </w:rPr>
              <w:t>序号</w:t>
            </w:r>
          </w:p>
        </w:tc>
        <w:tc>
          <w:tcPr>
            <w:tcW w:w="1149"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施工区域</w:t>
            </w:r>
          </w:p>
        </w:tc>
        <w:tc>
          <w:tcPr>
            <w:tcW w:w="6521"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施工内容</w:t>
            </w:r>
          </w:p>
        </w:tc>
      </w:tr>
      <w:tr w:rsidR="00A46421" w:rsidRPr="00476095" w:rsidTr="003C0334">
        <w:tblPrEx>
          <w:shd w:val="clear" w:color="auto" w:fill="auto"/>
        </w:tblPrEx>
        <w:trPr>
          <w:cantSplit/>
          <w:trHeight w:val="567"/>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1</w:t>
            </w:r>
          </w:p>
        </w:tc>
        <w:tc>
          <w:tcPr>
            <w:tcW w:w="1149" w:type="dxa"/>
            <w:vMerge w:val="restart"/>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地下一、二层消防管道改造</w:t>
            </w: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拆除工程</w:t>
            </w:r>
          </w:p>
        </w:tc>
      </w:tr>
      <w:tr w:rsidR="00A46421" w:rsidRPr="00476095" w:rsidTr="003C0334">
        <w:tblPrEx>
          <w:shd w:val="clear" w:color="auto" w:fill="auto"/>
        </w:tblPrEx>
        <w:trPr>
          <w:cantSplit/>
          <w:trHeight w:val="567"/>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2</w:t>
            </w:r>
          </w:p>
        </w:tc>
        <w:tc>
          <w:tcPr>
            <w:tcW w:w="1149" w:type="dxa"/>
            <w:vMerge/>
            <w:tcBorders>
              <w:tl2br w:val="nil"/>
              <w:tr2bl w:val="nil"/>
            </w:tcBorders>
            <w:vAlign w:val="center"/>
          </w:tcPr>
          <w:p w:rsidR="00A46421" w:rsidRPr="00476095" w:rsidRDefault="00A46421" w:rsidP="003C0334">
            <w:pPr>
              <w:spacing w:line="360" w:lineRule="auto"/>
              <w:jc w:val="center"/>
              <w:rPr>
                <w:rFonts w:ascii="宋体" w:hAnsi="宋体"/>
                <w:szCs w:val="21"/>
              </w:rPr>
            </w:pP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拆除地下一层原有吊顶</w:t>
            </w:r>
          </w:p>
        </w:tc>
      </w:tr>
      <w:tr w:rsidR="00A46421" w:rsidRPr="00476095" w:rsidTr="003C0334">
        <w:tblPrEx>
          <w:shd w:val="clear" w:color="auto" w:fill="auto"/>
        </w:tblPrEx>
        <w:trPr>
          <w:cantSplit/>
          <w:trHeight w:val="567"/>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3</w:t>
            </w:r>
          </w:p>
        </w:tc>
        <w:tc>
          <w:tcPr>
            <w:tcW w:w="1149" w:type="dxa"/>
            <w:vMerge/>
            <w:tcBorders>
              <w:tl2br w:val="nil"/>
              <w:tr2bl w:val="nil"/>
            </w:tcBorders>
            <w:vAlign w:val="center"/>
          </w:tcPr>
          <w:p w:rsidR="00A46421" w:rsidRPr="00476095" w:rsidRDefault="00A46421" w:rsidP="003C0334">
            <w:pPr>
              <w:spacing w:line="360" w:lineRule="auto"/>
              <w:jc w:val="center"/>
              <w:rPr>
                <w:rFonts w:ascii="宋体" w:hAnsi="宋体"/>
                <w:szCs w:val="21"/>
              </w:rPr>
            </w:pP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拆除地下一层消火栓系统管道和管件、喷淋系统管道和管件</w:t>
            </w:r>
          </w:p>
        </w:tc>
      </w:tr>
      <w:tr w:rsidR="00A46421" w:rsidRPr="00476095" w:rsidTr="003C0334">
        <w:tblPrEx>
          <w:shd w:val="clear" w:color="auto" w:fill="auto"/>
        </w:tblPrEx>
        <w:trPr>
          <w:cantSplit/>
          <w:trHeight w:val="567"/>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4</w:t>
            </w:r>
          </w:p>
        </w:tc>
        <w:tc>
          <w:tcPr>
            <w:tcW w:w="1149" w:type="dxa"/>
            <w:vMerge/>
            <w:tcBorders>
              <w:tl2br w:val="nil"/>
              <w:tr2bl w:val="nil"/>
            </w:tcBorders>
            <w:vAlign w:val="center"/>
          </w:tcPr>
          <w:p w:rsidR="00A46421" w:rsidRPr="00476095" w:rsidRDefault="00A46421" w:rsidP="003C0334">
            <w:pPr>
              <w:spacing w:line="360" w:lineRule="auto"/>
              <w:jc w:val="center"/>
              <w:rPr>
                <w:rFonts w:ascii="宋体" w:hAnsi="宋体"/>
                <w:szCs w:val="21"/>
              </w:rPr>
            </w:pP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拆除隔墙</w:t>
            </w:r>
          </w:p>
        </w:tc>
      </w:tr>
      <w:tr w:rsidR="00A46421" w:rsidRPr="00476095" w:rsidTr="003C0334">
        <w:tblPrEx>
          <w:shd w:val="clear" w:color="auto" w:fill="auto"/>
        </w:tblPrEx>
        <w:trPr>
          <w:cantSplit/>
          <w:trHeight w:val="567"/>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5</w:t>
            </w:r>
          </w:p>
        </w:tc>
        <w:tc>
          <w:tcPr>
            <w:tcW w:w="1149" w:type="dxa"/>
            <w:vMerge/>
            <w:tcBorders>
              <w:tl2br w:val="nil"/>
              <w:tr2bl w:val="nil"/>
            </w:tcBorders>
            <w:vAlign w:val="center"/>
          </w:tcPr>
          <w:p w:rsidR="00A46421" w:rsidRPr="00476095" w:rsidRDefault="00A46421" w:rsidP="003C0334">
            <w:pPr>
              <w:spacing w:line="360" w:lineRule="auto"/>
              <w:jc w:val="center"/>
              <w:rPr>
                <w:rFonts w:ascii="宋体" w:hAnsi="宋体"/>
                <w:szCs w:val="21"/>
              </w:rPr>
            </w:pP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新装消火栓系统管道、管件、消火栓箱、消防软管卷盘和轻便水龙</w:t>
            </w:r>
          </w:p>
        </w:tc>
      </w:tr>
      <w:tr w:rsidR="00A46421" w:rsidRPr="00476095" w:rsidTr="003C0334">
        <w:tblPrEx>
          <w:shd w:val="clear" w:color="auto" w:fill="auto"/>
        </w:tblPrEx>
        <w:trPr>
          <w:cantSplit/>
          <w:trHeight w:val="567"/>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6</w:t>
            </w:r>
          </w:p>
        </w:tc>
        <w:tc>
          <w:tcPr>
            <w:tcW w:w="1149" w:type="dxa"/>
            <w:vMerge/>
            <w:tcBorders>
              <w:tl2br w:val="nil"/>
              <w:tr2bl w:val="nil"/>
            </w:tcBorders>
            <w:vAlign w:val="center"/>
          </w:tcPr>
          <w:p w:rsidR="00A46421" w:rsidRPr="00476095" w:rsidRDefault="00A46421" w:rsidP="003C0334">
            <w:pPr>
              <w:spacing w:line="360" w:lineRule="auto"/>
              <w:jc w:val="center"/>
              <w:rPr>
                <w:rFonts w:ascii="宋体" w:hAnsi="宋体"/>
                <w:szCs w:val="21"/>
              </w:rPr>
            </w:pP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新装喷淋系统管道和管件，恢复喷头</w:t>
            </w:r>
          </w:p>
        </w:tc>
      </w:tr>
      <w:tr w:rsidR="00A46421" w:rsidRPr="00476095" w:rsidTr="003C0334">
        <w:tblPrEx>
          <w:shd w:val="clear" w:color="auto" w:fill="auto"/>
        </w:tblPrEx>
        <w:trPr>
          <w:cantSplit/>
          <w:trHeight w:val="90"/>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7</w:t>
            </w:r>
          </w:p>
        </w:tc>
        <w:tc>
          <w:tcPr>
            <w:tcW w:w="1149" w:type="dxa"/>
            <w:vMerge/>
            <w:tcBorders>
              <w:tl2br w:val="nil"/>
              <w:tr2bl w:val="nil"/>
            </w:tcBorders>
            <w:vAlign w:val="center"/>
          </w:tcPr>
          <w:p w:rsidR="00A46421" w:rsidRPr="00476095" w:rsidRDefault="00A46421" w:rsidP="003C0334">
            <w:pPr>
              <w:spacing w:line="360" w:lineRule="auto"/>
              <w:jc w:val="center"/>
              <w:rPr>
                <w:rFonts w:ascii="宋体" w:hAnsi="宋体"/>
                <w:szCs w:val="21"/>
              </w:rPr>
            </w:pP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新做轻钢龙骨水泥压力板和石膏板双层板隔墙，并刮腻子刷涂料</w:t>
            </w:r>
          </w:p>
        </w:tc>
      </w:tr>
      <w:tr w:rsidR="00A46421" w:rsidRPr="00476095" w:rsidTr="003C0334">
        <w:tblPrEx>
          <w:shd w:val="clear" w:color="auto" w:fill="auto"/>
        </w:tblPrEx>
        <w:trPr>
          <w:cantSplit/>
          <w:trHeight w:val="90"/>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t>8</w:t>
            </w:r>
          </w:p>
        </w:tc>
        <w:tc>
          <w:tcPr>
            <w:tcW w:w="1149" w:type="dxa"/>
            <w:vMerge/>
            <w:tcBorders>
              <w:tl2br w:val="nil"/>
              <w:tr2bl w:val="nil"/>
            </w:tcBorders>
            <w:vAlign w:val="center"/>
          </w:tcPr>
          <w:p w:rsidR="00A46421" w:rsidRPr="00476095" w:rsidRDefault="00A46421" w:rsidP="003C0334">
            <w:pPr>
              <w:spacing w:line="360" w:lineRule="auto"/>
              <w:jc w:val="center"/>
              <w:rPr>
                <w:rFonts w:ascii="宋体" w:hAnsi="宋体"/>
                <w:szCs w:val="21"/>
              </w:rPr>
            </w:pP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新做金属条形格片吊顶、金属花格栅吊顶、喷砂矿棉板吊顶</w:t>
            </w:r>
          </w:p>
        </w:tc>
      </w:tr>
      <w:tr w:rsidR="00A46421" w:rsidRPr="00476095" w:rsidTr="003C0334">
        <w:tblPrEx>
          <w:shd w:val="clear" w:color="auto" w:fill="auto"/>
        </w:tblPrEx>
        <w:trPr>
          <w:cantSplit/>
          <w:trHeight w:val="90"/>
        </w:trPr>
        <w:tc>
          <w:tcPr>
            <w:tcW w:w="660" w:type="dxa"/>
            <w:tcBorders>
              <w:tl2br w:val="nil"/>
              <w:tr2bl w:val="nil"/>
            </w:tcBorders>
            <w:vAlign w:val="center"/>
          </w:tcPr>
          <w:p w:rsidR="00A46421" w:rsidRPr="00476095" w:rsidRDefault="00A46421" w:rsidP="003C0334">
            <w:pPr>
              <w:spacing w:line="360" w:lineRule="auto"/>
              <w:jc w:val="center"/>
              <w:rPr>
                <w:rFonts w:ascii="宋体" w:hAnsi="宋体"/>
                <w:szCs w:val="21"/>
              </w:rPr>
            </w:pPr>
            <w:r w:rsidRPr="00476095">
              <w:rPr>
                <w:rFonts w:ascii="宋体" w:hAnsi="宋体" w:hint="eastAsia"/>
                <w:szCs w:val="21"/>
              </w:rPr>
              <w:lastRenderedPageBreak/>
              <w:t>9</w:t>
            </w:r>
          </w:p>
        </w:tc>
        <w:tc>
          <w:tcPr>
            <w:tcW w:w="1149" w:type="dxa"/>
            <w:vMerge/>
            <w:tcBorders>
              <w:tl2br w:val="nil"/>
              <w:tr2bl w:val="nil"/>
            </w:tcBorders>
            <w:vAlign w:val="center"/>
          </w:tcPr>
          <w:p w:rsidR="00A46421" w:rsidRPr="00476095" w:rsidRDefault="00A46421" w:rsidP="003C0334">
            <w:pPr>
              <w:spacing w:line="360" w:lineRule="auto"/>
              <w:jc w:val="center"/>
              <w:rPr>
                <w:rFonts w:ascii="宋体" w:hAnsi="宋体"/>
                <w:szCs w:val="21"/>
              </w:rPr>
            </w:pPr>
          </w:p>
        </w:tc>
        <w:tc>
          <w:tcPr>
            <w:tcW w:w="6521" w:type="dxa"/>
            <w:tcBorders>
              <w:tl2br w:val="nil"/>
              <w:tr2bl w:val="nil"/>
            </w:tcBorders>
            <w:vAlign w:val="center"/>
          </w:tcPr>
          <w:p w:rsidR="00A46421" w:rsidRPr="00476095" w:rsidRDefault="00A46421" w:rsidP="003C0334">
            <w:pPr>
              <w:spacing w:line="360" w:lineRule="auto"/>
              <w:jc w:val="left"/>
              <w:rPr>
                <w:rFonts w:ascii="宋体" w:hAnsi="宋体"/>
                <w:szCs w:val="21"/>
              </w:rPr>
            </w:pPr>
            <w:r w:rsidRPr="00476095">
              <w:rPr>
                <w:rFonts w:ascii="宋体" w:hAnsi="宋体" w:hint="eastAsia"/>
                <w:szCs w:val="21"/>
              </w:rPr>
              <w:t>拆除架子</w:t>
            </w:r>
          </w:p>
        </w:tc>
      </w:tr>
    </w:tbl>
    <w:bookmarkEnd w:id="5"/>
    <w:bookmarkEnd w:id="6"/>
    <w:p w:rsidR="00A46421" w:rsidRPr="00476095" w:rsidRDefault="00A46421" w:rsidP="00A46421">
      <w:pPr>
        <w:keepNext/>
        <w:keepLines/>
        <w:spacing w:line="360" w:lineRule="auto"/>
        <w:outlineLvl w:val="0"/>
        <w:rPr>
          <w:rFonts w:ascii="Arial" w:hAnsi="Arial" w:cs="Arial"/>
          <w:sz w:val="24"/>
        </w:rPr>
      </w:pPr>
      <w:r w:rsidRPr="00476095">
        <w:rPr>
          <w:rFonts w:ascii="Arial" w:hAnsi="Arial" w:cs="Arial" w:hint="eastAsia"/>
          <w:sz w:val="24"/>
        </w:rPr>
        <w:t>备注：本次应答报价为完成全部工程拆、装及现场保护的总价格，其中包含拆除过程中造成的装饰装修损坏部分的修复。</w:t>
      </w:r>
    </w:p>
    <w:p w:rsidR="00A46421" w:rsidRPr="00476095" w:rsidRDefault="00A46421" w:rsidP="00A46421">
      <w:pPr>
        <w:keepNext/>
        <w:keepLines/>
        <w:numPr>
          <w:ilvl w:val="0"/>
          <w:numId w:val="1"/>
        </w:numPr>
        <w:spacing w:line="360" w:lineRule="auto"/>
        <w:outlineLvl w:val="0"/>
        <w:rPr>
          <w:rFonts w:ascii="黑体" w:eastAsia="黑体" w:hAnsi="黑体"/>
          <w:b/>
          <w:kern w:val="44"/>
          <w:sz w:val="24"/>
          <w:szCs w:val="24"/>
        </w:rPr>
      </w:pPr>
      <w:r w:rsidRPr="00476095">
        <w:rPr>
          <w:rFonts w:ascii="黑体" w:eastAsia="黑体" w:hAnsi="黑体" w:hint="eastAsia"/>
          <w:b/>
          <w:kern w:val="44"/>
          <w:sz w:val="24"/>
          <w:szCs w:val="24"/>
        </w:rPr>
        <w:t>材料要求：</w:t>
      </w:r>
    </w:p>
    <w:p w:rsidR="00A46421" w:rsidRPr="00476095" w:rsidRDefault="00A46421" w:rsidP="00A46421">
      <w:pPr>
        <w:keepNext/>
        <w:keepLines/>
        <w:spacing w:line="360" w:lineRule="auto"/>
        <w:outlineLvl w:val="0"/>
        <w:rPr>
          <w:rFonts w:ascii="黑体" w:eastAsia="黑体" w:hAnsi="黑体"/>
          <w:kern w:val="44"/>
          <w:sz w:val="24"/>
          <w:szCs w:val="24"/>
        </w:rPr>
      </w:pPr>
      <w:r w:rsidRPr="00476095">
        <w:rPr>
          <w:rFonts w:ascii="黑体" w:eastAsia="黑体" w:hAnsi="黑体" w:hint="eastAsia"/>
          <w:kern w:val="44"/>
          <w:sz w:val="24"/>
          <w:szCs w:val="24"/>
        </w:rPr>
        <w:t>供应商需提供所用材料的详细清单（包括但不限于材料参数、规格、品牌等内容）。</w:t>
      </w:r>
    </w:p>
    <w:p w:rsidR="00A46421" w:rsidRPr="00476095" w:rsidRDefault="00A46421" w:rsidP="00A46421">
      <w:pPr>
        <w:keepNext/>
        <w:keepLines/>
        <w:numPr>
          <w:ilvl w:val="0"/>
          <w:numId w:val="1"/>
        </w:numPr>
        <w:spacing w:line="360" w:lineRule="auto"/>
        <w:outlineLvl w:val="0"/>
        <w:rPr>
          <w:rFonts w:ascii="黑体" w:eastAsia="黑体" w:hAnsi="黑体"/>
          <w:b/>
          <w:kern w:val="44"/>
          <w:sz w:val="24"/>
          <w:szCs w:val="24"/>
        </w:rPr>
      </w:pPr>
      <w:bookmarkStart w:id="7" w:name="_Toc511647360"/>
      <w:r w:rsidRPr="00476095">
        <w:rPr>
          <w:rFonts w:ascii="黑体" w:eastAsia="黑体" w:hAnsi="黑体" w:hint="eastAsia"/>
          <w:b/>
          <w:kern w:val="44"/>
          <w:sz w:val="24"/>
          <w:szCs w:val="24"/>
        </w:rPr>
        <w:t>承包方式</w:t>
      </w:r>
      <w:bookmarkEnd w:id="7"/>
    </w:p>
    <w:p w:rsidR="00A46421" w:rsidRPr="00476095" w:rsidRDefault="00A46421" w:rsidP="00A46421">
      <w:pPr>
        <w:spacing w:line="360" w:lineRule="auto"/>
        <w:rPr>
          <w:sz w:val="24"/>
          <w:szCs w:val="24"/>
        </w:rPr>
      </w:pPr>
      <w:r w:rsidRPr="00476095">
        <w:rPr>
          <w:rFonts w:hint="eastAsia"/>
          <w:sz w:val="24"/>
          <w:szCs w:val="24"/>
        </w:rPr>
        <w:t>包工包料。</w:t>
      </w:r>
    </w:p>
    <w:p w:rsidR="00A46421" w:rsidRPr="00476095" w:rsidRDefault="00A46421" w:rsidP="00A46421">
      <w:pPr>
        <w:keepNext/>
        <w:keepLines/>
        <w:numPr>
          <w:ilvl w:val="0"/>
          <w:numId w:val="1"/>
        </w:numPr>
        <w:spacing w:line="360" w:lineRule="auto"/>
        <w:outlineLvl w:val="0"/>
        <w:rPr>
          <w:rFonts w:ascii="Times New Roman" w:hAnsi="Times New Roman"/>
          <w:bCs/>
          <w:kern w:val="44"/>
          <w:sz w:val="24"/>
          <w:szCs w:val="24"/>
        </w:rPr>
      </w:pPr>
      <w:bookmarkStart w:id="8" w:name="_Toc511647362"/>
      <w:r w:rsidRPr="00476095">
        <w:rPr>
          <w:rFonts w:ascii="Times New Roman" w:eastAsia="黑体" w:hAnsi="Times New Roman"/>
          <w:b/>
          <w:kern w:val="44"/>
          <w:sz w:val="24"/>
          <w:szCs w:val="24"/>
        </w:rPr>
        <w:t>其他要求</w:t>
      </w:r>
      <w:bookmarkEnd w:id="8"/>
    </w:p>
    <w:p w:rsidR="00A46421" w:rsidRPr="00476095" w:rsidRDefault="00A46421" w:rsidP="00A46421">
      <w:pPr>
        <w:spacing w:line="360" w:lineRule="auto"/>
        <w:rPr>
          <w:rFonts w:ascii="Times New Roman" w:hAnsi="Times New Roman"/>
          <w:sz w:val="24"/>
          <w:szCs w:val="24"/>
        </w:rPr>
      </w:pPr>
      <w:r w:rsidRPr="00476095">
        <w:rPr>
          <w:rFonts w:ascii="Times New Roman" w:hAnsi="Times New Roman"/>
          <w:sz w:val="24"/>
          <w:szCs w:val="24"/>
        </w:rPr>
        <w:t>6.1</w:t>
      </w:r>
      <w:r w:rsidRPr="00476095">
        <w:rPr>
          <w:rFonts w:ascii="Times New Roman" w:hAnsi="Times New Roman"/>
          <w:sz w:val="24"/>
          <w:szCs w:val="24"/>
        </w:rPr>
        <w:t>施工应满足消防相关法律法规要求</w:t>
      </w:r>
    </w:p>
    <w:p w:rsidR="00A46421" w:rsidRPr="00476095" w:rsidRDefault="00A46421" w:rsidP="00A46421">
      <w:pPr>
        <w:spacing w:line="360" w:lineRule="auto"/>
        <w:rPr>
          <w:rFonts w:ascii="Times New Roman" w:hAnsi="Times New Roman"/>
          <w:sz w:val="24"/>
          <w:szCs w:val="24"/>
        </w:rPr>
      </w:pPr>
      <w:r w:rsidRPr="00476095">
        <w:rPr>
          <w:rFonts w:ascii="Times New Roman" w:hAnsi="Times New Roman"/>
          <w:sz w:val="24"/>
          <w:szCs w:val="24"/>
        </w:rPr>
        <w:t>6.2</w:t>
      </w:r>
      <w:r w:rsidRPr="00476095">
        <w:rPr>
          <w:rFonts w:ascii="Times New Roman" w:hAnsi="Times New Roman"/>
          <w:sz w:val="24"/>
          <w:szCs w:val="24"/>
        </w:rPr>
        <w:t>本项目要求工期：</w:t>
      </w:r>
      <w:r w:rsidRPr="00476095">
        <w:rPr>
          <w:rFonts w:ascii="Times New Roman" w:hAnsi="Times New Roman"/>
          <w:sz w:val="24"/>
          <w:szCs w:val="24"/>
        </w:rPr>
        <w:t>30</w:t>
      </w:r>
      <w:r w:rsidRPr="00476095">
        <w:rPr>
          <w:rFonts w:ascii="Times New Roman" w:hAnsi="Times New Roman"/>
          <w:sz w:val="24"/>
          <w:szCs w:val="24"/>
        </w:rPr>
        <w:t>个</w:t>
      </w:r>
      <w:proofErr w:type="gramStart"/>
      <w:r w:rsidRPr="00476095">
        <w:rPr>
          <w:rFonts w:ascii="Times New Roman" w:hAnsi="Times New Roman"/>
          <w:sz w:val="24"/>
          <w:szCs w:val="24"/>
        </w:rPr>
        <w:t>日历天</w:t>
      </w:r>
      <w:proofErr w:type="gramEnd"/>
      <w:r w:rsidRPr="00476095">
        <w:rPr>
          <w:rFonts w:ascii="Times New Roman" w:hAnsi="Times New Roman"/>
          <w:sz w:val="24"/>
          <w:szCs w:val="24"/>
        </w:rPr>
        <w:t xml:space="preserve">, </w:t>
      </w:r>
      <w:r w:rsidRPr="00476095">
        <w:rPr>
          <w:rFonts w:ascii="Times New Roman" w:hAnsi="Times New Roman"/>
          <w:sz w:val="24"/>
          <w:szCs w:val="24"/>
        </w:rPr>
        <w:t>计划开始时间为合同</w:t>
      </w:r>
      <w:proofErr w:type="gramStart"/>
      <w:r w:rsidRPr="00476095">
        <w:rPr>
          <w:rFonts w:ascii="Times New Roman" w:hAnsi="Times New Roman"/>
          <w:sz w:val="24"/>
          <w:szCs w:val="24"/>
        </w:rPr>
        <w:t>签定</w:t>
      </w:r>
      <w:proofErr w:type="gramEnd"/>
      <w:r w:rsidRPr="00476095">
        <w:rPr>
          <w:rFonts w:ascii="Times New Roman" w:hAnsi="Times New Roman"/>
          <w:sz w:val="24"/>
          <w:szCs w:val="24"/>
        </w:rPr>
        <w:t>生效后</w:t>
      </w:r>
      <w:r w:rsidRPr="00476095">
        <w:rPr>
          <w:rFonts w:ascii="Times New Roman" w:hAnsi="Times New Roman"/>
          <w:sz w:val="24"/>
          <w:szCs w:val="24"/>
        </w:rPr>
        <w:t>3</w:t>
      </w:r>
      <w:r w:rsidRPr="00476095">
        <w:rPr>
          <w:rFonts w:ascii="Times New Roman" w:hAnsi="Times New Roman"/>
          <w:sz w:val="24"/>
          <w:szCs w:val="24"/>
        </w:rPr>
        <w:t>个工作日。</w:t>
      </w:r>
      <w:bookmarkStart w:id="9" w:name="OLE_LINK3"/>
    </w:p>
    <w:p w:rsidR="00A46421" w:rsidRPr="00476095" w:rsidRDefault="00A46421" w:rsidP="00A46421">
      <w:pPr>
        <w:spacing w:line="360" w:lineRule="auto"/>
        <w:rPr>
          <w:rFonts w:ascii="Times New Roman" w:hAnsi="Times New Roman"/>
          <w:sz w:val="24"/>
          <w:szCs w:val="24"/>
        </w:rPr>
      </w:pPr>
      <w:r w:rsidRPr="00476095">
        <w:rPr>
          <w:rFonts w:ascii="Times New Roman" w:hAnsi="Times New Roman"/>
          <w:sz w:val="24"/>
          <w:szCs w:val="24"/>
        </w:rPr>
        <w:t>6.3</w:t>
      </w:r>
      <w:r w:rsidRPr="00476095">
        <w:rPr>
          <w:rFonts w:ascii="Times New Roman" w:hAnsi="Times New Roman"/>
          <w:sz w:val="24"/>
          <w:szCs w:val="24"/>
        </w:rPr>
        <w:t>质保期及售后服务要求：</w:t>
      </w:r>
    </w:p>
    <w:p w:rsidR="00A46421" w:rsidRPr="00476095" w:rsidRDefault="00A46421" w:rsidP="00A46421">
      <w:pPr>
        <w:spacing w:line="360" w:lineRule="auto"/>
        <w:ind w:leftChars="269" w:left="565"/>
        <w:rPr>
          <w:rFonts w:ascii="Times New Roman" w:hAnsi="Times New Roman"/>
          <w:sz w:val="24"/>
          <w:szCs w:val="24"/>
        </w:rPr>
      </w:pPr>
      <w:r w:rsidRPr="00476095">
        <w:rPr>
          <w:rFonts w:ascii="Times New Roman" w:hAnsi="Times New Roman"/>
          <w:sz w:val="24"/>
          <w:szCs w:val="24"/>
        </w:rPr>
        <w:t>质保期</w:t>
      </w:r>
      <w:proofErr w:type="gramStart"/>
      <w:r w:rsidRPr="00476095">
        <w:rPr>
          <w:rFonts w:ascii="Times New Roman" w:hAnsi="Times New Roman"/>
          <w:sz w:val="24"/>
          <w:szCs w:val="24"/>
        </w:rPr>
        <w:t>自项目</w:t>
      </w:r>
      <w:proofErr w:type="gramEnd"/>
      <w:r w:rsidRPr="00476095">
        <w:rPr>
          <w:rFonts w:ascii="Times New Roman" w:hAnsi="Times New Roman"/>
          <w:sz w:val="24"/>
          <w:szCs w:val="24"/>
        </w:rPr>
        <w:t>竣工验收合格之日起不低于</w:t>
      </w:r>
      <w:r w:rsidRPr="00476095">
        <w:rPr>
          <w:rFonts w:ascii="Times New Roman" w:hAnsi="Times New Roman"/>
          <w:sz w:val="24"/>
          <w:szCs w:val="24"/>
        </w:rPr>
        <w:t>2</w:t>
      </w:r>
      <w:r w:rsidRPr="00476095">
        <w:rPr>
          <w:rFonts w:ascii="Times New Roman" w:hAnsi="Times New Roman"/>
          <w:sz w:val="24"/>
          <w:szCs w:val="24"/>
        </w:rPr>
        <w:t>年。</w:t>
      </w:r>
    </w:p>
    <w:p w:rsidR="00A46421" w:rsidRPr="00476095" w:rsidRDefault="00A46421" w:rsidP="00A46421">
      <w:pPr>
        <w:spacing w:line="360" w:lineRule="auto"/>
        <w:ind w:leftChars="269" w:left="565"/>
        <w:rPr>
          <w:rFonts w:ascii="Times New Roman" w:hAnsi="Times New Roman"/>
          <w:sz w:val="24"/>
          <w:szCs w:val="24"/>
        </w:rPr>
      </w:pPr>
      <w:r w:rsidRPr="00476095">
        <w:rPr>
          <w:rFonts w:ascii="Times New Roman" w:hAnsi="Times New Roman"/>
          <w:sz w:val="24"/>
          <w:szCs w:val="24"/>
        </w:rPr>
        <w:t>质保期内供应商提供免费维修服务。且应在收到采购人维修通知后，</w:t>
      </w:r>
      <w:r w:rsidRPr="00476095">
        <w:rPr>
          <w:rFonts w:ascii="Times New Roman" w:hAnsi="Times New Roman"/>
          <w:sz w:val="24"/>
          <w:szCs w:val="24"/>
        </w:rPr>
        <w:t>4</w:t>
      </w:r>
      <w:r w:rsidRPr="00476095">
        <w:rPr>
          <w:rFonts w:ascii="Times New Roman" w:hAnsi="Times New Roman"/>
          <w:sz w:val="24"/>
          <w:szCs w:val="24"/>
        </w:rPr>
        <w:t>小时内到达现场，确定施工方案。</w:t>
      </w:r>
      <w:bookmarkEnd w:id="9"/>
    </w:p>
    <w:p w:rsidR="00A46421" w:rsidRPr="00476095" w:rsidRDefault="00A46421" w:rsidP="00A46421">
      <w:pPr>
        <w:pStyle w:val="p0"/>
        <w:spacing w:line="360" w:lineRule="auto"/>
        <w:rPr>
          <w:rFonts w:ascii="Times New Roman" w:eastAsiaTheme="minorEastAsia" w:hAnsi="Times New Roman"/>
          <w:sz w:val="24"/>
          <w:szCs w:val="24"/>
        </w:rPr>
      </w:pPr>
      <w:r w:rsidRPr="00476095">
        <w:rPr>
          <w:rFonts w:ascii="Times New Roman" w:eastAsiaTheme="minorEastAsia" w:hAnsi="Times New Roman"/>
          <w:sz w:val="24"/>
          <w:szCs w:val="24"/>
        </w:rPr>
        <w:t xml:space="preserve">6.4 </w:t>
      </w:r>
      <w:r w:rsidRPr="00476095">
        <w:rPr>
          <w:rFonts w:ascii="Times New Roman" w:hAnsi="Times New Roman"/>
          <w:bCs/>
          <w:kern w:val="2"/>
          <w:sz w:val="24"/>
          <w:szCs w:val="24"/>
        </w:rPr>
        <w:t>在财政批复资金到位后，且项目验收合格并签署验收报告后</w:t>
      </w:r>
      <w:r w:rsidRPr="00476095">
        <w:rPr>
          <w:rFonts w:ascii="Times New Roman" w:hAnsi="Times New Roman"/>
          <w:bCs/>
          <w:kern w:val="2"/>
          <w:sz w:val="24"/>
          <w:szCs w:val="24"/>
        </w:rPr>
        <w:t>15</w:t>
      </w:r>
      <w:r w:rsidRPr="00476095">
        <w:rPr>
          <w:rFonts w:ascii="Times New Roman" w:hAnsi="Times New Roman"/>
          <w:bCs/>
          <w:kern w:val="2"/>
          <w:sz w:val="24"/>
          <w:szCs w:val="24"/>
        </w:rPr>
        <w:t>个工作日内，采购人向供应商支付全部合同款。</w:t>
      </w:r>
    </w:p>
    <w:p w:rsidR="00A46421" w:rsidRPr="00476095" w:rsidRDefault="00A46421" w:rsidP="00A46421">
      <w:pPr>
        <w:keepNext/>
        <w:keepLines/>
        <w:numPr>
          <w:ilvl w:val="0"/>
          <w:numId w:val="1"/>
        </w:numPr>
        <w:spacing w:line="360" w:lineRule="auto"/>
        <w:outlineLvl w:val="0"/>
        <w:rPr>
          <w:rFonts w:ascii="黑体" w:eastAsia="黑体" w:hAnsi="黑体"/>
          <w:b/>
          <w:kern w:val="44"/>
          <w:sz w:val="24"/>
          <w:szCs w:val="24"/>
        </w:rPr>
      </w:pPr>
      <w:r w:rsidRPr="00476095">
        <w:rPr>
          <w:rFonts w:ascii="黑体" w:eastAsia="黑体" w:hAnsi="黑体" w:hint="eastAsia"/>
          <w:b/>
          <w:kern w:val="44"/>
          <w:sz w:val="24"/>
          <w:szCs w:val="24"/>
        </w:rPr>
        <w:t>工程量清单</w:t>
      </w:r>
    </w:p>
    <w:p w:rsidR="00FE1DD0" w:rsidRDefault="00A46421" w:rsidP="00A46421">
      <w:r w:rsidRPr="00476095">
        <w:rPr>
          <w:rFonts w:hint="eastAsia"/>
          <w:sz w:val="24"/>
        </w:rPr>
        <w:t xml:space="preserve">  </w:t>
      </w:r>
      <w:r w:rsidRPr="00B83760">
        <w:rPr>
          <w:rFonts w:ascii="Arial" w:hAnsi="Arial" w:cs="Arial" w:hint="eastAsia"/>
          <w:sz w:val="24"/>
        </w:rPr>
        <w:t>详见附件，具体的工程量以现场踏勘为准。</w:t>
      </w:r>
    </w:p>
    <w:sectPr w:rsidR="00FE1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81E09"/>
    <w:multiLevelType w:val="multilevel"/>
    <w:tmpl w:val="52181E09"/>
    <w:lvl w:ilvl="0">
      <w:start w:val="1"/>
      <w:numFmt w:val="decimal"/>
      <w:lvlText w:val="%1."/>
      <w:lvlJc w:val="left"/>
      <w:pPr>
        <w:ind w:left="420" w:hanging="420"/>
      </w:pPr>
      <w:rPr>
        <w:rFonts w:ascii="Arial" w:hAnsi="Arial" w:hint="default"/>
        <w:b w:val="0"/>
        <w:i w:val="0"/>
        <w:sz w:val="24"/>
      </w:rPr>
    </w:lvl>
    <w:lvl w:ilvl="1">
      <w:start w:val="1"/>
      <w:numFmt w:val="decimal"/>
      <w:isLgl/>
      <w:lvlText w:val="%1.%2"/>
      <w:lvlJc w:val="left"/>
      <w:pPr>
        <w:ind w:left="720" w:hanging="720"/>
      </w:pPr>
      <w:rPr>
        <w:rFonts w:cs="宋体" w:hint="default"/>
        <w:b/>
      </w:rPr>
    </w:lvl>
    <w:lvl w:ilvl="2">
      <w:start w:val="2"/>
      <w:numFmt w:val="decimal"/>
      <w:isLgl/>
      <w:lvlText w:val="%1.%2.%3"/>
      <w:lvlJc w:val="left"/>
      <w:pPr>
        <w:ind w:left="720" w:hanging="720"/>
      </w:pPr>
      <w:rPr>
        <w:rFonts w:cs="宋体" w:hint="default"/>
        <w:b/>
      </w:rPr>
    </w:lvl>
    <w:lvl w:ilvl="3">
      <w:start w:val="1"/>
      <w:numFmt w:val="decimal"/>
      <w:isLgl/>
      <w:lvlText w:val="%1.%2.%3.%4"/>
      <w:lvlJc w:val="left"/>
      <w:pPr>
        <w:ind w:left="1080" w:hanging="1080"/>
      </w:pPr>
      <w:rPr>
        <w:rFonts w:cs="宋体" w:hint="default"/>
        <w:b/>
      </w:rPr>
    </w:lvl>
    <w:lvl w:ilvl="4">
      <w:start w:val="1"/>
      <w:numFmt w:val="decimal"/>
      <w:isLgl/>
      <w:lvlText w:val="%1.%2.%3.%4.%5"/>
      <w:lvlJc w:val="left"/>
      <w:pPr>
        <w:ind w:left="1080" w:hanging="1080"/>
      </w:pPr>
      <w:rPr>
        <w:rFonts w:cs="宋体" w:hint="default"/>
        <w:b/>
      </w:rPr>
    </w:lvl>
    <w:lvl w:ilvl="5">
      <w:start w:val="1"/>
      <w:numFmt w:val="decimal"/>
      <w:isLgl/>
      <w:lvlText w:val="%1.%2.%3.%4.%5.%6"/>
      <w:lvlJc w:val="left"/>
      <w:pPr>
        <w:ind w:left="1440" w:hanging="1440"/>
      </w:pPr>
      <w:rPr>
        <w:rFonts w:cs="宋体" w:hint="default"/>
        <w:b/>
      </w:rPr>
    </w:lvl>
    <w:lvl w:ilvl="6">
      <w:start w:val="1"/>
      <w:numFmt w:val="decimal"/>
      <w:isLgl/>
      <w:lvlText w:val="%1.%2.%3.%4.%5.%6.%7"/>
      <w:lvlJc w:val="left"/>
      <w:pPr>
        <w:ind w:left="1800" w:hanging="1800"/>
      </w:pPr>
      <w:rPr>
        <w:rFonts w:cs="宋体" w:hint="default"/>
        <w:b/>
      </w:rPr>
    </w:lvl>
    <w:lvl w:ilvl="7">
      <w:start w:val="1"/>
      <w:numFmt w:val="decimal"/>
      <w:isLgl/>
      <w:lvlText w:val="%1.%2.%3.%4.%5.%6.%7.%8"/>
      <w:lvlJc w:val="left"/>
      <w:pPr>
        <w:ind w:left="1800" w:hanging="1800"/>
      </w:pPr>
      <w:rPr>
        <w:rFonts w:cs="宋体" w:hint="default"/>
        <w:b/>
      </w:rPr>
    </w:lvl>
    <w:lvl w:ilvl="8">
      <w:start w:val="1"/>
      <w:numFmt w:val="decimal"/>
      <w:isLgl/>
      <w:lvlText w:val="%1.%2.%3.%4.%5.%6.%7.%8.%9"/>
      <w:lvlJc w:val="left"/>
      <w:pPr>
        <w:ind w:left="2160" w:hanging="2160"/>
      </w:pPr>
      <w:rPr>
        <w:rFonts w:cs="宋体"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21"/>
    <w:rsid w:val="00013A1E"/>
    <w:rsid w:val="000C2D6C"/>
    <w:rsid w:val="006B0EC4"/>
    <w:rsid w:val="00847BEC"/>
    <w:rsid w:val="008A1393"/>
    <w:rsid w:val="008A42F9"/>
    <w:rsid w:val="0098328A"/>
    <w:rsid w:val="00A46421"/>
    <w:rsid w:val="00C46D33"/>
    <w:rsid w:val="00CA0CCE"/>
    <w:rsid w:val="00CD08E0"/>
    <w:rsid w:val="00CD143C"/>
    <w:rsid w:val="00D45962"/>
    <w:rsid w:val="00D91A31"/>
    <w:rsid w:val="00FE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421"/>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样式4"/>
    <w:basedOn w:val="a"/>
    <w:uiPriority w:val="3"/>
    <w:qFormat/>
    <w:rsid w:val="00A46421"/>
    <w:pPr>
      <w:jc w:val="center"/>
      <w:outlineLvl w:val="0"/>
    </w:pPr>
    <w:rPr>
      <w:b/>
      <w:sz w:val="32"/>
    </w:rPr>
  </w:style>
  <w:style w:type="paragraph" w:customStyle="1" w:styleId="p0">
    <w:name w:val="p0"/>
    <w:basedOn w:val="a"/>
    <w:qFormat/>
    <w:rsid w:val="00A46421"/>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421"/>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样式4"/>
    <w:basedOn w:val="a"/>
    <w:uiPriority w:val="3"/>
    <w:qFormat/>
    <w:rsid w:val="00A46421"/>
    <w:pPr>
      <w:jc w:val="center"/>
      <w:outlineLvl w:val="0"/>
    </w:pPr>
    <w:rPr>
      <w:b/>
      <w:sz w:val="32"/>
    </w:rPr>
  </w:style>
  <w:style w:type="paragraph" w:customStyle="1" w:styleId="p0">
    <w:name w:val="p0"/>
    <w:basedOn w:val="a"/>
    <w:qFormat/>
    <w:rsid w:val="00A46421"/>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王晓烨</dc:creator>
  <cp:lastModifiedBy>王晓烨</cp:lastModifiedBy>
  <cp:revision>1</cp:revision>
  <dcterms:created xsi:type="dcterms:W3CDTF">2019-09-26T03:31:00Z</dcterms:created>
  <dcterms:modified xsi:type="dcterms:W3CDTF">2019-09-26T03:32:00Z</dcterms:modified>
</cp:coreProperties>
</file>